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D514406"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B1007B">
        <w:rPr>
          <w:rFonts w:hint="cs"/>
          <w:u w:val="single"/>
          <w:rtl/>
        </w:rPr>
        <w:t>46</w:t>
      </w:r>
    </w:p>
    <w:p w14:paraId="6B12F29A" w14:textId="77777777" w:rsidR="00F230F3" w:rsidRPr="007E1481" w:rsidRDefault="00F230F3" w:rsidP="00087562">
      <w:pPr>
        <w:spacing w:after="120"/>
        <w:jc w:val="center"/>
        <w:rPr>
          <w:u w:val="single"/>
          <w:rtl/>
        </w:rPr>
      </w:pPr>
    </w:p>
    <w:p w14:paraId="3EDBC4C8" w14:textId="77777777" w:rsidR="00572154" w:rsidRDefault="006B0C83" w:rsidP="00C12E49">
      <w:pPr>
        <w:spacing w:after="120"/>
        <w:jc w:val="both"/>
        <w:rPr>
          <w:rtl/>
        </w:rPr>
      </w:pPr>
      <w:r w:rsidRPr="007E1481">
        <w:rPr>
          <w:rFonts w:hint="cs"/>
          <w:rtl/>
        </w:rPr>
        <w:t>(1)</w:t>
      </w:r>
      <w:r w:rsidR="00572154">
        <w:rPr>
          <w:rFonts w:hint="cs"/>
          <w:rtl/>
        </w:rPr>
        <w:t xml:space="preserve"> לסיים את המקורות מדף 45</w:t>
      </w:r>
    </w:p>
    <w:p w14:paraId="28778634" w14:textId="77777777" w:rsidR="00572154" w:rsidRDefault="00572154" w:rsidP="00C12E49">
      <w:pPr>
        <w:spacing w:after="120"/>
        <w:jc w:val="both"/>
        <w:rPr>
          <w:rtl/>
        </w:rPr>
      </w:pPr>
    </w:p>
    <w:p w14:paraId="23F06564" w14:textId="4332A2D1" w:rsidR="00572154" w:rsidRDefault="00572154" w:rsidP="00C12E49">
      <w:pPr>
        <w:spacing w:after="120"/>
        <w:jc w:val="both"/>
        <w:rPr>
          <w:rtl/>
        </w:rPr>
      </w:pPr>
      <w:r>
        <w:rPr>
          <w:rFonts w:hint="cs"/>
          <w:rtl/>
        </w:rPr>
        <w:t xml:space="preserve">(2) </w:t>
      </w:r>
      <w:r w:rsidRPr="00572154">
        <w:rPr>
          <w:rtl/>
        </w:rPr>
        <w:t>בענין כל קבוע כמחצה על מחצה דמי</w:t>
      </w:r>
      <w:r>
        <w:rPr>
          <w:rFonts w:hint="cs"/>
          <w:rtl/>
        </w:rPr>
        <w:t>:</w:t>
      </w:r>
    </w:p>
    <w:p w14:paraId="089CF536" w14:textId="1DC62BE3" w:rsidR="00572154" w:rsidRDefault="00572154" w:rsidP="00C12E49">
      <w:pPr>
        <w:spacing w:after="120"/>
        <w:jc w:val="both"/>
        <w:rPr>
          <w:rtl/>
        </w:rPr>
      </w:pPr>
      <w:r>
        <w:rPr>
          <w:rFonts w:hint="cs"/>
          <w:rtl/>
        </w:rPr>
        <w:t xml:space="preserve">גמרא סנהדרין עט. "דתניא ר"ש אומר ... </w:t>
      </w:r>
      <w:r w:rsidRPr="00572154">
        <w:rPr>
          <w:rtl/>
        </w:rPr>
        <w:t>כמחצה על מחצה דמי</w:t>
      </w:r>
      <w:r>
        <w:rPr>
          <w:rFonts w:hint="cs"/>
          <w:rtl/>
        </w:rPr>
        <w:t>"</w:t>
      </w:r>
    </w:p>
    <w:p w14:paraId="568E5D62" w14:textId="3FA30F1D" w:rsidR="00572154" w:rsidRDefault="007922A0" w:rsidP="007922A0">
      <w:pPr>
        <w:spacing w:after="120"/>
        <w:jc w:val="both"/>
        <w:rPr>
          <w:rtl/>
        </w:rPr>
      </w:pPr>
      <w:r>
        <w:rPr>
          <w:rFonts w:hint="cs"/>
          <w:rtl/>
        </w:rPr>
        <w:t xml:space="preserve">למה כל קבוע </w:t>
      </w:r>
      <w:r w:rsidRPr="00572154">
        <w:rPr>
          <w:rtl/>
        </w:rPr>
        <w:t>כמחצה על מחצה דמי</w:t>
      </w:r>
      <w:r>
        <w:rPr>
          <w:rFonts w:hint="cs"/>
          <w:rtl/>
        </w:rPr>
        <w:t>?</w:t>
      </w:r>
      <w:r w:rsidR="0066370F">
        <w:rPr>
          <w:rFonts w:hint="cs"/>
          <w:rtl/>
        </w:rPr>
        <w:t xml:space="preserve"> מאי שנא קבוע מפריש?</w:t>
      </w:r>
    </w:p>
    <w:p w14:paraId="17A00322" w14:textId="015FAFCF" w:rsidR="00DE6B8E" w:rsidRDefault="00DE6B8E" w:rsidP="007922A0">
      <w:pPr>
        <w:spacing w:after="120"/>
        <w:jc w:val="both"/>
        <w:rPr>
          <w:rtl/>
        </w:rPr>
      </w:pPr>
      <w:r>
        <w:rPr>
          <w:rFonts w:hint="cs"/>
          <w:rtl/>
        </w:rPr>
        <w:t>ר"ן חולין דף לג: באלפס ד"ה ספקו אסור</w:t>
      </w:r>
      <w:r w:rsidR="004450EF">
        <w:rPr>
          <w:rFonts w:hint="cs"/>
          <w:rtl/>
        </w:rPr>
        <w:t>, [בדק הבית (</w:t>
      </w:r>
      <w:r w:rsidR="006D1B8B">
        <w:rPr>
          <w:rFonts w:hint="cs"/>
          <w:rtl/>
        </w:rPr>
        <w:t xml:space="preserve">השגות הרא"ה על ספר תורת הבית </w:t>
      </w:r>
      <w:proofErr w:type="spellStart"/>
      <w:r w:rsidR="006D1B8B">
        <w:rPr>
          <w:rFonts w:hint="cs"/>
          <w:rtl/>
        </w:rPr>
        <w:t>להרשב"א</w:t>
      </w:r>
      <w:proofErr w:type="spellEnd"/>
      <w:r w:rsidR="006D1B8B">
        <w:rPr>
          <w:rFonts w:hint="cs"/>
          <w:rtl/>
        </w:rPr>
        <w:t xml:space="preserve">) בית ד שער ב ד"ה </w:t>
      </w:r>
      <w:r w:rsidR="006D1B8B" w:rsidRPr="006D1B8B">
        <w:rPr>
          <w:rtl/>
        </w:rPr>
        <w:t>עוד נראה מדברי החכם בענין תשע חנויות</w:t>
      </w:r>
      <w:r w:rsidR="006D1B8B">
        <w:rPr>
          <w:rFonts w:hint="cs"/>
          <w:rtl/>
        </w:rPr>
        <w:t xml:space="preserve">; ועי' קובץ שעורים על שב </w:t>
      </w:r>
      <w:proofErr w:type="spellStart"/>
      <w:r w:rsidR="006D1B8B">
        <w:rPr>
          <w:rFonts w:hint="cs"/>
          <w:rtl/>
        </w:rPr>
        <w:t>שמעתתא</w:t>
      </w:r>
      <w:proofErr w:type="spellEnd"/>
      <w:r w:rsidR="006D1B8B">
        <w:rPr>
          <w:rFonts w:hint="cs"/>
          <w:rtl/>
        </w:rPr>
        <w:t xml:space="preserve"> סימן יא, ואכמ"ל]</w:t>
      </w:r>
    </w:p>
    <w:p w14:paraId="6C0566E0" w14:textId="6C28ECB5" w:rsidR="007922A0" w:rsidRDefault="007922A0" w:rsidP="007922A0">
      <w:pPr>
        <w:spacing w:after="120"/>
        <w:jc w:val="both"/>
      </w:pPr>
      <w:r>
        <w:rPr>
          <w:rFonts w:hint="cs"/>
          <w:rtl/>
        </w:rPr>
        <w:t>קובץ שעורים ב"ב סי' פו</w:t>
      </w:r>
    </w:p>
    <w:p w14:paraId="790DBCA2" w14:textId="2DE88E7C" w:rsidR="007922A0" w:rsidRDefault="004450EF" w:rsidP="007922A0">
      <w:pPr>
        <w:spacing w:after="120"/>
        <w:jc w:val="both"/>
        <w:rPr>
          <w:rtl/>
        </w:rPr>
      </w:pPr>
      <w:r>
        <w:rPr>
          <w:rFonts w:hint="cs"/>
          <w:rtl/>
        </w:rPr>
        <w:t xml:space="preserve">גמרא זבחים עג. </w:t>
      </w:r>
      <w:r>
        <w:rPr>
          <w:rtl/>
        </w:rPr>
        <w:t>–</w:t>
      </w:r>
      <w:r>
        <w:rPr>
          <w:rFonts w:hint="cs"/>
          <w:rtl/>
        </w:rPr>
        <w:t xml:space="preserve"> </w:t>
      </w:r>
      <w:proofErr w:type="spellStart"/>
      <w:r>
        <w:rPr>
          <w:rFonts w:hint="cs"/>
          <w:rtl/>
        </w:rPr>
        <w:t>עג</w:t>
      </w:r>
      <w:proofErr w:type="spellEnd"/>
      <w:r>
        <w:rPr>
          <w:rFonts w:hint="cs"/>
          <w:rtl/>
        </w:rPr>
        <w:t>:</w:t>
      </w:r>
      <w:r>
        <w:rPr>
          <w:rFonts w:hint="cs"/>
        </w:rPr>
        <w:t xml:space="preserve"> </w:t>
      </w:r>
      <w:r>
        <w:rPr>
          <w:rFonts w:hint="cs"/>
          <w:rtl/>
        </w:rPr>
        <w:t xml:space="preserve">"בעלי חיים </w:t>
      </w:r>
      <w:proofErr w:type="spellStart"/>
      <w:r>
        <w:rPr>
          <w:rFonts w:hint="cs"/>
          <w:rtl/>
        </w:rPr>
        <w:t>חשיבי</w:t>
      </w:r>
      <w:proofErr w:type="spellEnd"/>
      <w:r>
        <w:rPr>
          <w:rFonts w:hint="cs"/>
          <w:rtl/>
        </w:rPr>
        <w:t xml:space="preserve"> ולא בטלי ... משום קבוע", [תוס' שם ד"ה אלא], </w:t>
      </w:r>
      <w:proofErr w:type="spellStart"/>
      <w:r>
        <w:rPr>
          <w:rFonts w:hint="cs"/>
          <w:rtl/>
        </w:rPr>
        <w:t>תוס</w:t>
      </w:r>
      <w:proofErr w:type="spellEnd"/>
      <w:r>
        <w:rPr>
          <w:rFonts w:hint="cs"/>
          <w:rtl/>
        </w:rPr>
        <w:t xml:space="preserve">' חולין </w:t>
      </w:r>
      <w:proofErr w:type="spellStart"/>
      <w:r>
        <w:rPr>
          <w:rFonts w:hint="cs"/>
          <w:rtl/>
        </w:rPr>
        <w:t>צה</w:t>
      </w:r>
      <w:proofErr w:type="spellEnd"/>
      <w:r>
        <w:rPr>
          <w:rFonts w:hint="cs"/>
          <w:rtl/>
        </w:rPr>
        <w:t>. ד"ה ספקו</w:t>
      </w:r>
    </w:p>
    <w:p w14:paraId="740B20BD" w14:textId="502B4D1F" w:rsidR="003013E3" w:rsidRDefault="004450EF" w:rsidP="004450EF">
      <w:pPr>
        <w:spacing w:after="120"/>
        <w:rPr>
          <w:rtl/>
        </w:rPr>
      </w:pPr>
      <w:r>
        <w:rPr>
          <w:rFonts w:hint="cs"/>
          <w:rtl/>
        </w:rPr>
        <w:t>תורת הבית (</w:t>
      </w:r>
      <w:proofErr w:type="spellStart"/>
      <w:r>
        <w:rPr>
          <w:rFonts w:hint="cs"/>
          <w:rtl/>
        </w:rPr>
        <w:t>להרשב"א</w:t>
      </w:r>
      <w:proofErr w:type="spellEnd"/>
      <w:r>
        <w:rPr>
          <w:rFonts w:hint="cs"/>
          <w:rtl/>
        </w:rPr>
        <w:t>) בית ד שער ב "</w:t>
      </w:r>
      <w:r>
        <w:rPr>
          <w:rtl/>
        </w:rPr>
        <w:t xml:space="preserve">שנינו </w:t>
      </w:r>
      <w:proofErr w:type="spellStart"/>
      <w:r>
        <w:rPr>
          <w:rtl/>
        </w:rPr>
        <w:t>בברייתא</w:t>
      </w:r>
      <w:proofErr w:type="spellEnd"/>
      <w:r>
        <w:rPr>
          <w:rtl/>
        </w:rPr>
        <w:t xml:space="preserve"> תשע חנויות כולן מוכרות בשר שחוטה </w:t>
      </w:r>
      <w:r>
        <w:rPr>
          <w:rFonts w:hint="cs"/>
          <w:rtl/>
        </w:rPr>
        <w:t xml:space="preserve">... </w:t>
      </w:r>
      <w:r>
        <w:rPr>
          <w:rtl/>
        </w:rPr>
        <w:t>ואם אינו יודע מאי זה מהן לקח הרי זה אסור</w:t>
      </w:r>
      <w:r>
        <w:rPr>
          <w:rFonts w:hint="cs"/>
          <w:rtl/>
        </w:rPr>
        <w:t>"</w:t>
      </w:r>
    </w:p>
    <w:p w14:paraId="382C9A30" w14:textId="00AFBAE9" w:rsidR="00572154" w:rsidRDefault="00421095" w:rsidP="00146287">
      <w:pPr>
        <w:spacing w:after="120"/>
        <w:rPr>
          <w:rtl/>
        </w:rPr>
      </w:pPr>
      <w:r>
        <w:rPr>
          <w:rFonts w:hint="cs"/>
          <w:rtl/>
        </w:rPr>
        <w:t xml:space="preserve">[מה הגדר של קבוע </w:t>
      </w:r>
      <w:r>
        <w:rPr>
          <w:rtl/>
        </w:rPr>
        <w:t>–</w:t>
      </w:r>
      <w:r>
        <w:rPr>
          <w:rFonts w:hint="cs"/>
          <w:rtl/>
        </w:rPr>
        <w:t xml:space="preserve"> האם תלוי בקביעות מקום או בזה שהאיסור ניכר?  עי' גמרא נזיר יא: - </w:t>
      </w:r>
      <w:proofErr w:type="spellStart"/>
      <w:r>
        <w:rPr>
          <w:rFonts w:hint="cs"/>
          <w:rtl/>
        </w:rPr>
        <w:t>יב</w:t>
      </w:r>
      <w:proofErr w:type="spellEnd"/>
      <w:r>
        <w:rPr>
          <w:rFonts w:hint="cs"/>
          <w:rtl/>
        </w:rPr>
        <w:t xml:space="preserve">. "אמר ר' יצחק בר יוסף ... גבי קן מי הדרא", רש"י שם ד"ה אמר ליה </w:t>
      </w:r>
      <w:proofErr w:type="spellStart"/>
      <w:r>
        <w:rPr>
          <w:rFonts w:hint="cs"/>
          <w:rtl/>
        </w:rPr>
        <w:t>אמינא</w:t>
      </w:r>
      <w:proofErr w:type="spellEnd"/>
      <w:r>
        <w:rPr>
          <w:rFonts w:hint="cs"/>
          <w:rtl/>
        </w:rPr>
        <w:t xml:space="preserve"> לך אנא, </w:t>
      </w:r>
      <w:proofErr w:type="spellStart"/>
      <w:r>
        <w:rPr>
          <w:rFonts w:hint="cs"/>
          <w:rtl/>
        </w:rPr>
        <w:t>תוס</w:t>
      </w:r>
      <w:proofErr w:type="spellEnd"/>
      <w:r>
        <w:rPr>
          <w:rFonts w:hint="cs"/>
          <w:rtl/>
        </w:rPr>
        <w:t xml:space="preserve">' שם ד"ה אסור, </w:t>
      </w:r>
      <w:r w:rsidR="00A253E7">
        <w:rPr>
          <w:rFonts w:hint="cs"/>
          <w:rtl/>
        </w:rPr>
        <w:t xml:space="preserve">פרי מגדים יו"ד סי' קי שפתי דעת </w:t>
      </w:r>
      <w:proofErr w:type="spellStart"/>
      <w:r w:rsidR="00A253E7">
        <w:rPr>
          <w:rFonts w:hint="cs"/>
          <w:rtl/>
        </w:rPr>
        <w:t>ס"ק</w:t>
      </w:r>
      <w:proofErr w:type="spellEnd"/>
      <w:r w:rsidR="00A253E7">
        <w:rPr>
          <w:rFonts w:hint="cs"/>
          <w:rtl/>
        </w:rPr>
        <w:t xml:space="preserve"> יד חלק ב; רש"י יומא פד: ד"ה לא </w:t>
      </w:r>
      <w:proofErr w:type="spellStart"/>
      <w:r w:rsidR="00A253E7">
        <w:rPr>
          <w:rFonts w:hint="cs"/>
          <w:rtl/>
        </w:rPr>
        <w:t>צריכא</w:t>
      </w:r>
      <w:proofErr w:type="spellEnd"/>
      <w:r w:rsidR="00A253E7">
        <w:rPr>
          <w:rFonts w:hint="cs"/>
          <w:rtl/>
        </w:rPr>
        <w:t xml:space="preserve"> </w:t>
      </w:r>
      <w:proofErr w:type="spellStart"/>
      <w:r w:rsidR="00A253E7">
        <w:rPr>
          <w:rFonts w:hint="cs"/>
          <w:rtl/>
        </w:rPr>
        <w:t>דפריש</w:t>
      </w:r>
      <w:proofErr w:type="spellEnd"/>
      <w:r w:rsidR="00A253E7">
        <w:rPr>
          <w:rFonts w:hint="cs"/>
          <w:rtl/>
        </w:rPr>
        <w:t xml:space="preserve"> לחצר אחרת, </w:t>
      </w:r>
      <w:proofErr w:type="spellStart"/>
      <w:r w:rsidR="00A253E7">
        <w:rPr>
          <w:rFonts w:hint="cs"/>
          <w:rtl/>
        </w:rPr>
        <w:t>תוס</w:t>
      </w:r>
      <w:proofErr w:type="spellEnd"/>
      <w:r w:rsidR="00A253E7">
        <w:rPr>
          <w:rFonts w:hint="cs"/>
          <w:rtl/>
        </w:rPr>
        <w:t>' שם ד"ה הא]</w:t>
      </w:r>
    </w:p>
    <w:p w14:paraId="497F79CD" w14:textId="37DCA657" w:rsidR="00D67CAA" w:rsidRDefault="00D67CAA" w:rsidP="00146287">
      <w:pPr>
        <w:spacing w:after="120"/>
        <w:rPr>
          <w:rtl/>
        </w:rPr>
      </w:pPr>
      <w:r>
        <w:rPr>
          <w:rFonts w:hint="cs"/>
          <w:rtl/>
        </w:rPr>
        <w:t xml:space="preserve">[האם אפשר להכריע </w:t>
      </w:r>
      <w:proofErr w:type="spellStart"/>
      <w:r>
        <w:rPr>
          <w:rFonts w:hint="cs"/>
          <w:rtl/>
        </w:rPr>
        <w:t>סקפק</w:t>
      </w:r>
      <w:proofErr w:type="spellEnd"/>
      <w:r>
        <w:rPr>
          <w:rFonts w:hint="cs"/>
          <w:rtl/>
        </w:rPr>
        <w:t xml:space="preserve"> קבוע ע"פ דרכי הכרעה אחרות </w:t>
      </w:r>
      <w:r>
        <w:rPr>
          <w:rtl/>
        </w:rPr>
        <w:t>–</w:t>
      </w:r>
      <w:r>
        <w:rPr>
          <w:rFonts w:hint="cs"/>
          <w:rtl/>
        </w:rPr>
        <w:t xml:space="preserve"> עי' </w:t>
      </w:r>
      <w:r>
        <w:rPr>
          <w:rFonts w:hint="cs"/>
          <w:rtl/>
        </w:rPr>
        <w:t xml:space="preserve">פרי מגדים יו"ד סי' קי שפתי דעת </w:t>
      </w:r>
      <w:proofErr w:type="spellStart"/>
      <w:r>
        <w:rPr>
          <w:rFonts w:hint="cs"/>
          <w:rtl/>
        </w:rPr>
        <w:t>ס"ק</w:t>
      </w:r>
      <w:proofErr w:type="spellEnd"/>
      <w:r>
        <w:rPr>
          <w:rFonts w:hint="cs"/>
          <w:rtl/>
        </w:rPr>
        <w:t xml:space="preserve"> יד חלק </w:t>
      </w:r>
      <w:r>
        <w:rPr>
          <w:rFonts w:hint="cs"/>
          <w:rtl/>
        </w:rPr>
        <w:t xml:space="preserve">א; ועי' מה שכתב עליו בחי' רב שמעון </w:t>
      </w:r>
      <w:proofErr w:type="spellStart"/>
      <w:r>
        <w:rPr>
          <w:rFonts w:hint="cs"/>
          <w:rtl/>
        </w:rPr>
        <w:t>שקאפ</w:t>
      </w:r>
      <w:proofErr w:type="spellEnd"/>
      <w:r>
        <w:rPr>
          <w:rFonts w:hint="cs"/>
          <w:rtl/>
        </w:rPr>
        <w:t xml:space="preserve"> כתובות סי' </w:t>
      </w:r>
      <w:proofErr w:type="spellStart"/>
      <w:r>
        <w:rPr>
          <w:rFonts w:hint="cs"/>
          <w:rtl/>
        </w:rPr>
        <w:t>כג</w:t>
      </w:r>
      <w:proofErr w:type="spellEnd"/>
      <w:r>
        <w:rPr>
          <w:rFonts w:hint="cs"/>
          <w:rtl/>
        </w:rPr>
        <w:t>, ואכמ"ל]</w:t>
      </w:r>
    </w:p>
    <w:p w14:paraId="70A23C68" w14:textId="207527AA" w:rsidR="00A253E7" w:rsidRPr="003013E3" w:rsidRDefault="00D67CAA" w:rsidP="00146287">
      <w:pPr>
        <w:spacing w:after="120"/>
        <w:rPr>
          <w:rFonts w:hint="cs"/>
          <w:rtl/>
        </w:rPr>
      </w:pPr>
      <w:r>
        <w:rPr>
          <w:rFonts w:hint="cs"/>
          <w:rtl/>
        </w:rPr>
        <w:t xml:space="preserve"> </w:t>
      </w:r>
    </w:p>
    <w:p w14:paraId="557F56C3" w14:textId="77777777" w:rsidR="00146287" w:rsidRDefault="00146287" w:rsidP="00146287">
      <w:pPr>
        <w:spacing w:after="120"/>
        <w:rPr>
          <w:rtl/>
        </w:rPr>
      </w:pPr>
    </w:p>
    <w:p w14:paraId="09026C9A" w14:textId="3D0D12B5" w:rsidR="003013E3" w:rsidRDefault="003013E3" w:rsidP="00E136F8">
      <w:pPr>
        <w:spacing w:after="120"/>
        <w:rPr>
          <w:rtl/>
        </w:rPr>
      </w:pPr>
    </w:p>
    <w:p w14:paraId="39937D86" w14:textId="77777777" w:rsidR="003013E3" w:rsidRDefault="003013E3" w:rsidP="00E136F8">
      <w:pPr>
        <w:spacing w:after="120"/>
        <w:rPr>
          <w:rtl/>
        </w:rPr>
      </w:pPr>
    </w:p>
    <w:p w14:paraId="5D3C6A80" w14:textId="71CE9CC5" w:rsidR="00920C86" w:rsidRDefault="00920C86" w:rsidP="00E136F8">
      <w:pPr>
        <w:spacing w:after="120"/>
        <w:rPr>
          <w:rtl/>
        </w:rPr>
      </w:pPr>
    </w:p>
    <w:p w14:paraId="7D2DB3D4" w14:textId="3B658A2C" w:rsidR="00920C86" w:rsidRDefault="00920C86">
      <w:pPr>
        <w:bidi w:val="0"/>
        <w:rPr>
          <w:rtl/>
        </w:rPr>
      </w:pPr>
    </w:p>
    <w:p w14:paraId="0D439600" w14:textId="77777777" w:rsidR="00FA0A66" w:rsidRPr="00FA0A66" w:rsidRDefault="00FA0A66" w:rsidP="00FA0A66">
      <w:pPr>
        <w:autoSpaceDE w:val="0"/>
        <w:autoSpaceDN w:val="0"/>
        <w:adjustRightInd w:val="0"/>
        <w:jc w:val="both"/>
        <w:rPr>
          <w:u w:val="single"/>
          <w:rtl/>
        </w:rPr>
      </w:pPr>
      <w:r w:rsidRPr="00FA0A66">
        <w:rPr>
          <w:u w:val="single"/>
          <w:rtl/>
        </w:rPr>
        <w:t>קובץ שעורים בבא בתרא אות פו</w:t>
      </w:r>
    </w:p>
    <w:p w14:paraId="0B3CF7D6" w14:textId="0A848DDA" w:rsidR="009250F2" w:rsidRDefault="00FA0A66" w:rsidP="00FA0A66">
      <w:pPr>
        <w:autoSpaceDE w:val="0"/>
        <w:autoSpaceDN w:val="0"/>
        <w:adjustRightInd w:val="0"/>
        <w:jc w:val="both"/>
        <w:rPr>
          <w:rtl/>
        </w:rPr>
      </w:pPr>
      <w:r>
        <w:rPr>
          <w:rtl/>
        </w:rPr>
        <w:t xml:space="preserve">פו) [דף כד ע"א] והנה בכל </w:t>
      </w:r>
      <w:proofErr w:type="spellStart"/>
      <w:r>
        <w:rPr>
          <w:rtl/>
        </w:rPr>
        <w:t>דפריש</w:t>
      </w:r>
      <w:proofErr w:type="spellEnd"/>
      <w:r>
        <w:rPr>
          <w:rtl/>
        </w:rPr>
        <w:t xml:space="preserve">, כתב </w:t>
      </w:r>
      <w:proofErr w:type="spellStart"/>
      <w:r>
        <w:rPr>
          <w:rtl/>
        </w:rPr>
        <w:t>הרא"ש</w:t>
      </w:r>
      <w:proofErr w:type="spellEnd"/>
      <w:r>
        <w:rPr>
          <w:rtl/>
        </w:rPr>
        <w:t xml:space="preserve"> בשם </w:t>
      </w:r>
      <w:proofErr w:type="spellStart"/>
      <w:r>
        <w:rPr>
          <w:rtl/>
        </w:rPr>
        <w:t>בה"ג</w:t>
      </w:r>
      <w:proofErr w:type="spellEnd"/>
      <w:r>
        <w:rPr>
          <w:rtl/>
        </w:rPr>
        <w:t xml:space="preserve"> - פ' אותו ואת בנו - דשנים האחרונים אסורים, אף </w:t>
      </w:r>
      <w:proofErr w:type="spellStart"/>
      <w:r>
        <w:rPr>
          <w:rtl/>
        </w:rPr>
        <w:t>דמעיקרא</w:t>
      </w:r>
      <w:proofErr w:type="spellEnd"/>
      <w:r>
        <w:rPr>
          <w:rtl/>
        </w:rPr>
        <w:t xml:space="preserve"> הי' רוב, מ"מ בתר השתא </w:t>
      </w:r>
      <w:proofErr w:type="spellStart"/>
      <w:r>
        <w:rPr>
          <w:rtl/>
        </w:rPr>
        <w:t>אזלינן</w:t>
      </w:r>
      <w:proofErr w:type="spellEnd"/>
      <w:r>
        <w:rPr>
          <w:rtl/>
        </w:rPr>
        <w:t xml:space="preserve"> </w:t>
      </w:r>
      <w:proofErr w:type="spellStart"/>
      <w:r>
        <w:rPr>
          <w:rtl/>
        </w:rPr>
        <w:t>והשתא</w:t>
      </w:r>
      <w:proofErr w:type="spellEnd"/>
      <w:r>
        <w:rPr>
          <w:rtl/>
        </w:rPr>
        <w:t xml:space="preserve"> </w:t>
      </w:r>
      <w:proofErr w:type="spellStart"/>
      <w:r>
        <w:rPr>
          <w:rtl/>
        </w:rPr>
        <w:t>ליכא</w:t>
      </w:r>
      <w:proofErr w:type="spellEnd"/>
      <w:r>
        <w:rPr>
          <w:rtl/>
        </w:rPr>
        <w:t xml:space="preserve"> </w:t>
      </w:r>
      <w:proofErr w:type="spellStart"/>
      <w:r>
        <w:rPr>
          <w:rtl/>
        </w:rPr>
        <w:t>רובא</w:t>
      </w:r>
      <w:proofErr w:type="spellEnd"/>
      <w:r>
        <w:rPr>
          <w:rtl/>
        </w:rPr>
        <w:t xml:space="preserve">, </w:t>
      </w:r>
      <w:proofErr w:type="spellStart"/>
      <w:r>
        <w:rPr>
          <w:rtl/>
        </w:rPr>
        <w:t>ולענין</w:t>
      </w:r>
      <w:proofErr w:type="spellEnd"/>
      <w:r>
        <w:rPr>
          <w:rtl/>
        </w:rPr>
        <w:t xml:space="preserve"> רוב בהמות כשרות נראה דאינו כן דאם </w:t>
      </w:r>
      <w:proofErr w:type="spellStart"/>
      <w:r>
        <w:rPr>
          <w:rtl/>
        </w:rPr>
        <w:t>יצוייר</w:t>
      </w:r>
      <w:proofErr w:type="spellEnd"/>
      <w:r>
        <w:rPr>
          <w:rtl/>
        </w:rPr>
        <w:t xml:space="preserve"> שנשחטו כל הבהמות שבעולם ולא נשארה אלא אחת, מכל מקום נוכל לומר שהיא כשרה כמו הרוב אילו היו בעולם, וטעם החילוק הזה נראה </w:t>
      </w:r>
      <w:proofErr w:type="spellStart"/>
      <w:r>
        <w:rPr>
          <w:rtl/>
        </w:rPr>
        <w:t>דרוב</w:t>
      </w:r>
      <w:proofErr w:type="spellEnd"/>
      <w:r>
        <w:rPr>
          <w:rtl/>
        </w:rPr>
        <w:t xml:space="preserve"> בהמות כשרות הוא בטבע הבריאה ולא ישתנה לעולם, אבל בתשע חנויות הרוב הוא במקרה, וכן רוב </w:t>
      </w:r>
      <w:proofErr w:type="spellStart"/>
      <w:r>
        <w:rPr>
          <w:rtl/>
        </w:rPr>
        <w:t>מצויין</w:t>
      </w:r>
      <w:proofErr w:type="spellEnd"/>
      <w:r>
        <w:rPr>
          <w:rtl/>
        </w:rPr>
        <w:t xml:space="preserve"> אין שייך לקרותו רוב בטבע, ושמעתי לפרש בזה טעם החילוק </w:t>
      </w:r>
      <w:proofErr w:type="spellStart"/>
      <w:r>
        <w:rPr>
          <w:rtl/>
        </w:rPr>
        <w:t>לענין</w:t>
      </w:r>
      <w:proofErr w:type="spellEnd"/>
      <w:r>
        <w:rPr>
          <w:rtl/>
        </w:rPr>
        <w:t xml:space="preserve"> קבוע, </w:t>
      </w:r>
      <w:proofErr w:type="spellStart"/>
      <w:r>
        <w:rPr>
          <w:rtl/>
        </w:rPr>
        <w:t>דדבר</w:t>
      </w:r>
      <w:proofErr w:type="spellEnd"/>
      <w:r>
        <w:rPr>
          <w:rtl/>
        </w:rPr>
        <w:t xml:space="preserve"> הקבוע נפרד מהרוב ועומד בפני עצמו </w:t>
      </w:r>
      <w:proofErr w:type="spellStart"/>
      <w:r>
        <w:rPr>
          <w:rtl/>
        </w:rPr>
        <w:t>והוי</w:t>
      </w:r>
      <w:proofErr w:type="spellEnd"/>
      <w:r>
        <w:rPr>
          <w:rtl/>
        </w:rPr>
        <w:t xml:space="preserve"> כמו שנים האחרונים, אבל ברוב בטבע דגם שנים האחרונים </w:t>
      </w:r>
      <w:proofErr w:type="spellStart"/>
      <w:r>
        <w:rPr>
          <w:rtl/>
        </w:rPr>
        <w:t>מותרין</w:t>
      </w:r>
      <w:proofErr w:type="spellEnd"/>
      <w:r>
        <w:rPr>
          <w:rtl/>
        </w:rPr>
        <w:t xml:space="preserve"> </w:t>
      </w:r>
      <w:proofErr w:type="spellStart"/>
      <w:r>
        <w:rPr>
          <w:rtl/>
        </w:rPr>
        <w:t>דהרוב</w:t>
      </w:r>
      <w:proofErr w:type="spellEnd"/>
      <w:r>
        <w:rPr>
          <w:rtl/>
        </w:rPr>
        <w:t xml:space="preserve"> הוא </w:t>
      </w:r>
      <w:proofErr w:type="spellStart"/>
      <w:r>
        <w:rPr>
          <w:rtl/>
        </w:rPr>
        <w:t>בהדבר</w:t>
      </w:r>
      <w:proofErr w:type="spellEnd"/>
      <w:r>
        <w:rPr>
          <w:rtl/>
        </w:rPr>
        <w:t xml:space="preserve"> עצמו ולא מחוצה לו גם קבוע מותר, אבל ברוב במקרה כגון בגר עמוני ומואבי וכן בעשרת השבטים אף דהוי </w:t>
      </w:r>
      <w:proofErr w:type="spellStart"/>
      <w:r>
        <w:rPr>
          <w:rtl/>
        </w:rPr>
        <w:t>רובא</w:t>
      </w:r>
      <w:proofErr w:type="spellEnd"/>
      <w:r>
        <w:rPr>
          <w:rtl/>
        </w:rPr>
        <w:t xml:space="preserve"> דליתיה </w:t>
      </w:r>
      <w:proofErr w:type="spellStart"/>
      <w:r>
        <w:rPr>
          <w:rtl/>
        </w:rPr>
        <w:t>קמן</w:t>
      </w:r>
      <w:proofErr w:type="spellEnd"/>
      <w:r>
        <w:rPr>
          <w:rtl/>
        </w:rPr>
        <w:t xml:space="preserve"> שייך בהו דין קבוע דשנים האחרונים </w:t>
      </w:r>
      <w:proofErr w:type="spellStart"/>
      <w:r>
        <w:rPr>
          <w:rtl/>
        </w:rPr>
        <w:t>אסורין</w:t>
      </w:r>
      <w:proofErr w:type="spellEnd"/>
      <w:r>
        <w:rPr>
          <w:rtl/>
        </w:rPr>
        <w:t xml:space="preserve"> בהן.</w:t>
      </w:r>
    </w:p>
    <w:p w14:paraId="1A428B89" w14:textId="794A38E5" w:rsidR="00FA0A66" w:rsidRDefault="00FA0A66" w:rsidP="00FA0A66">
      <w:pPr>
        <w:autoSpaceDE w:val="0"/>
        <w:autoSpaceDN w:val="0"/>
        <w:adjustRightInd w:val="0"/>
        <w:jc w:val="both"/>
        <w:rPr>
          <w:rtl/>
        </w:rPr>
      </w:pPr>
    </w:p>
    <w:p w14:paraId="64B2CAD2" w14:textId="47CAA561" w:rsidR="004450EF" w:rsidRPr="004450EF" w:rsidRDefault="004450EF" w:rsidP="004450EF">
      <w:pPr>
        <w:autoSpaceDE w:val="0"/>
        <w:autoSpaceDN w:val="0"/>
        <w:adjustRightInd w:val="0"/>
        <w:rPr>
          <w:u w:val="single"/>
          <w:rtl/>
        </w:rPr>
      </w:pPr>
      <w:r w:rsidRPr="004450EF">
        <w:rPr>
          <w:u w:val="single"/>
          <w:rtl/>
        </w:rPr>
        <w:t xml:space="preserve">ספר תורת הבית - הבית הרביעי - השער השני: </w:t>
      </w:r>
    </w:p>
    <w:p w14:paraId="2F75B3BD" w14:textId="3A1BC24A" w:rsidR="004450EF" w:rsidRDefault="004450EF" w:rsidP="004450EF">
      <w:pPr>
        <w:autoSpaceDE w:val="0"/>
        <w:autoSpaceDN w:val="0"/>
        <w:adjustRightInd w:val="0"/>
        <w:jc w:val="both"/>
        <w:rPr>
          <w:rtl/>
        </w:rPr>
      </w:pPr>
      <w:r>
        <w:rPr>
          <w:rtl/>
        </w:rPr>
        <w:t xml:space="preserve">שנינו </w:t>
      </w:r>
      <w:proofErr w:type="spellStart"/>
      <w:r>
        <w:rPr>
          <w:rtl/>
        </w:rPr>
        <w:t>בברייתא</w:t>
      </w:r>
      <w:proofErr w:type="spellEnd"/>
      <w:r>
        <w:rPr>
          <w:rtl/>
        </w:rPr>
        <w:t xml:space="preserve"> תשע חנויות כולן מוכרות בשר שחוטה ואחת מוכרת בשר נבלה ואינו יודע מאי זה מהן לקח אסור ובנמצא הלך אחר הרוב וטעמא </w:t>
      </w:r>
      <w:proofErr w:type="spellStart"/>
      <w:r>
        <w:rPr>
          <w:rtl/>
        </w:rPr>
        <w:t>דהא</w:t>
      </w:r>
      <w:proofErr w:type="spellEnd"/>
      <w:r>
        <w:rPr>
          <w:rtl/>
        </w:rPr>
        <w:t xml:space="preserve"> מילתא משום </w:t>
      </w:r>
      <w:proofErr w:type="spellStart"/>
      <w:r>
        <w:rPr>
          <w:rtl/>
        </w:rPr>
        <w:t>דכל</w:t>
      </w:r>
      <w:proofErr w:type="spellEnd"/>
      <w:r>
        <w:rPr>
          <w:rtl/>
        </w:rPr>
        <w:t xml:space="preserve"> קבוע כמחצה על מחצה דמי וכיון שיש שם אחת ידועה וניכרת מוכרת בשר נבלה הרי הנבלה אינה בטלה ברוב ואעפ"י שאין שם חתיכה הראויה להתכבד בה בפני האורחים משום </w:t>
      </w:r>
      <w:proofErr w:type="spellStart"/>
      <w:r>
        <w:rPr>
          <w:rtl/>
        </w:rPr>
        <w:t>דכל</w:t>
      </w:r>
      <w:proofErr w:type="spellEnd"/>
      <w:r>
        <w:rPr>
          <w:rtl/>
        </w:rPr>
        <w:t xml:space="preserve"> איסור שנודע מקומו וניכר אינו בטל והרי הוא קבוע בתוך ההיתר ואינו בטל וכמו שנתבאר כבר למעלה בשער שלפני זה בדברים שאינן בטלים ברוב. וכן איסור חשוב כחתיכה הראויה להתכבד בפני </w:t>
      </w:r>
      <w:proofErr w:type="spellStart"/>
      <w:r>
        <w:rPr>
          <w:rtl/>
        </w:rPr>
        <w:t>האורחין</w:t>
      </w:r>
      <w:proofErr w:type="spellEnd"/>
      <w:r>
        <w:rPr>
          <w:rtl/>
        </w:rPr>
        <w:t xml:space="preserve"> וכן בעלי חיים אינן בטלין והרי הן בתערובתן כאיסור קבוע וכמו שנתבאר שם וכיון שכן כל שלוקח ממקום שיש שם איסור קבוע כאחד מכל אלו הרי הן כמחצה על מחצה. ואם אינו יודע מאי זה מהן לקח הרי זה אסור.</w:t>
      </w:r>
    </w:p>
    <w:p w14:paraId="5ADC9CA2" w14:textId="77777777" w:rsidR="00FA0A66" w:rsidRPr="00920C86" w:rsidRDefault="00FA0A66" w:rsidP="00FA0A66">
      <w:pPr>
        <w:autoSpaceDE w:val="0"/>
        <w:autoSpaceDN w:val="0"/>
        <w:adjustRightInd w:val="0"/>
        <w:jc w:val="both"/>
        <w:rPr>
          <w:rtl/>
        </w:rPr>
      </w:pPr>
    </w:p>
    <w:sectPr w:rsidR="00FA0A66" w:rsidRPr="00920C86" w:rsidSect="00920C86">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B0A0" w14:textId="77777777" w:rsidR="004C740A" w:rsidRDefault="004C740A">
      <w:r>
        <w:separator/>
      </w:r>
    </w:p>
  </w:endnote>
  <w:endnote w:type="continuationSeparator" w:id="0">
    <w:p w14:paraId="0E4F5A81" w14:textId="77777777" w:rsidR="004C740A" w:rsidRDefault="004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487A" w14:textId="77777777" w:rsidR="004C740A" w:rsidRDefault="004C740A">
      <w:r>
        <w:separator/>
      </w:r>
    </w:p>
  </w:footnote>
  <w:footnote w:type="continuationSeparator" w:id="0">
    <w:p w14:paraId="233F50FF" w14:textId="77777777" w:rsidR="004C740A" w:rsidRDefault="004C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5C48"/>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2020-12-05T17:12:00Z</cp:lastPrinted>
  <dcterms:created xsi:type="dcterms:W3CDTF">2021-03-04T21:01:00Z</dcterms:created>
  <dcterms:modified xsi:type="dcterms:W3CDTF">2021-03-07T06:39:00Z</dcterms:modified>
</cp:coreProperties>
</file>