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5DEE9ECF"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1448D">
        <w:rPr>
          <w:u w:val="single"/>
        </w:rPr>
        <w:t>13</w:t>
      </w:r>
    </w:p>
    <w:p w14:paraId="01770C71" w14:textId="4F5ADA7F" w:rsidR="001067DC" w:rsidRDefault="003F18B8" w:rsidP="001067DC">
      <w:pPr>
        <w:spacing w:after="120"/>
        <w:jc w:val="both"/>
      </w:pPr>
      <w:r>
        <w:rPr>
          <w:rFonts w:hint="cs"/>
          <w:rtl/>
        </w:rPr>
        <w:t>(</w:t>
      </w:r>
      <w:r w:rsidR="004A15FC">
        <w:rPr>
          <w:rFonts w:hint="cs"/>
          <w:rtl/>
        </w:rPr>
        <w:t>1</w:t>
      </w:r>
      <w:r>
        <w:rPr>
          <w:rFonts w:hint="cs"/>
          <w:rtl/>
        </w:rPr>
        <w:t>)</w:t>
      </w:r>
      <w:r w:rsidR="001067DC">
        <w:rPr>
          <w:rFonts w:hint="cs"/>
          <w:rtl/>
        </w:rPr>
        <w:t xml:space="preserve"> לסיים את המקורות מדף </w:t>
      </w:r>
      <w:r w:rsidR="00C868AA">
        <w:t>12</w:t>
      </w:r>
    </w:p>
    <w:p w14:paraId="67E5B7AB" w14:textId="45914D27" w:rsidR="00AC2D57" w:rsidRDefault="00AC2D57" w:rsidP="004578CE">
      <w:pPr>
        <w:spacing w:after="120"/>
        <w:jc w:val="both"/>
        <w:rPr>
          <w:rtl/>
        </w:rPr>
      </w:pPr>
    </w:p>
    <w:p w14:paraId="7249A83B" w14:textId="19314A7E" w:rsidR="001D3353" w:rsidRDefault="001D3353" w:rsidP="004578CE">
      <w:pPr>
        <w:spacing w:after="120"/>
        <w:jc w:val="both"/>
        <w:rPr>
          <w:rFonts w:hint="cs"/>
          <w:rtl/>
        </w:rPr>
      </w:pPr>
      <w:r>
        <w:rPr>
          <w:rFonts w:hint="cs"/>
          <w:rtl/>
        </w:rPr>
        <w:t xml:space="preserve">(2) גמרא דף ד: "איבאעיא להו ... בממוניה", רש"י, תוס', </w:t>
      </w:r>
      <w:r w:rsidR="00875C4A">
        <w:rPr>
          <w:rFonts w:hint="cs"/>
          <w:rtl/>
        </w:rPr>
        <w:t>רבינו דוד, ר"ן, [תוס' הרא"ש]</w:t>
      </w:r>
    </w:p>
    <w:p w14:paraId="253CFD91" w14:textId="41C098D8" w:rsidR="001D3353" w:rsidRDefault="00875C4A" w:rsidP="00875C4A">
      <w:pPr>
        <w:spacing w:after="120"/>
        <w:jc w:val="both"/>
        <w:rPr>
          <w:rtl/>
        </w:rPr>
      </w:pPr>
      <w:r>
        <w:rPr>
          <w:rFonts w:hint="cs"/>
          <w:rtl/>
        </w:rPr>
        <w:t xml:space="preserve">רמב"ם חמץ ומצה ב:יח, רבינו מנוח שם ד"ה </w:t>
      </w:r>
      <w:r>
        <w:rPr>
          <w:rtl/>
        </w:rPr>
        <w:t>המשכיר בית בחזקת שהוא בדוק</w:t>
      </w:r>
    </w:p>
    <w:p w14:paraId="14B479FA" w14:textId="374E0098" w:rsidR="00875C4A" w:rsidRDefault="00CF15CD" w:rsidP="00875C4A">
      <w:pPr>
        <w:spacing w:after="120"/>
        <w:jc w:val="both"/>
        <w:rPr>
          <w:rtl/>
        </w:rPr>
      </w:pPr>
      <w:r>
        <w:rPr>
          <w:rFonts w:hint="cs"/>
          <w:rtl/>
        </w:rPr>
        <w:t xml:space="preserve">גמ' ב"מ כט: "אמר מר השואל ספר תורה... קמ"ל", ריטב"א ומאירי שם, </w:t>
      </w:r>
      <w:r w:rsidR="00660A0D">
        <w:rPr>
          <w:rFonts w:hint="cs"/>
          <w:rtl/>
        </w:rPr>
        <w:t xml:space="preserve">מרדכי שם (סי' רסג), </w:t>
      </w:r>
      <w:r>
        <w:rPr>
          <w:rFonts w:hint="cs"/>
          <w:rtl/>
        </w:rPr>
        <w:t>[מגן אברהם יד:י]</w:t>
      </w:r>
    </w:p>
    <w:p w14:paraId="325DB30B" w14:textId="2302A876" w:rsidR="009C1C55" w:rsidRDefault="009C1C55" w:rsidP="004578CE">
      <w:pPr>
        <w:spacing w:after="120"/>
        <w:jc w:val="both"/>
        <w:rPr>
          <w:rtl/>
        </w:rPr>
      </w:pPr>
      <w:r>
        <w:rPr>
          <w:rFonts w:hint="cs"/>
          <w:rtl/>
        </w:rPr>
        <w:t xml:space="preserve">[בענין פסק ההלכה באיבעיא דחזקתו בדוק </w:t>
      </w:r>
      <w:r>
        <w:rPr>
          <w:rtl/>
        </w:rPr>
        <w:t>–</w:t>
      </w:r>
      <w:r>
        <w:rPr>
          <w:rFonts w:hint="cs"/>
          <w:rtl/>
        </w:rPr>
        <w:t xml:space="preserve"> מהר"ם חלאווה ד"ה ולענין פסק ההלכה, חי' הר"ן ד"ה ולענין הלכה, ר"ן סוד"ה גרסינן בגמ']</w:t>
      </w:r>
    </w:p>
    <w:p w14:paraId="5CA48A2C" w14:textId="77777777" w:rsidR="009C1C55" w:rsidRDefault="009C1C55" w:rsidP="004578CE">
      <w:pPr>
        <w:spacing w:after="120"/>
        <w:jc w:val="both"/>
      </w:pPr>
    </w:p>
    <w:p w14:paraId="4B88FAC0" w14:textId="356A2EC7" w:rsidR="005A1A88" w:rsidRDefault="001067DC" w:rsidP="004578CE">
      <w:pPr>
        <w:spacing w:after="120"/>
        <w:jc w:val="both"/>
        <w:rPr>
          <w:rtl/>
        </w:rPr>
      </w:pPr>
      <w:r>
        <w:rPr>
          <w:rFonts w:hint="cs"/>
          <w:rtl/>
        </w:rPr>
        <w:t>(</w:t>
      </w:r>
      <w:r w:rsidR="001D3353">
        <w:rPr>
          <w:rFonts w:hint="cs"/>
          <w:rtl/>
        </w:rPr>
        <w:t>3</w:t>
      </w:r>
      <w:r>
        <w:rPr>
          <w:rFonts w:hint="cs"/>
          <w:rtl/>
        </w:rPr>
        <w:t>)</w:t>
      </w:r>
      <w:r w:rsidR="003E2489">
        <w:rPr>
          <w:rFonts w:hint="cs"/>
          <w:rtl/>
        </w:rPr>
        <w:t xml:space="preserve"> בענין </w:t>
      </w:r>
      <w:r w:rsidR="00C868AA">
        <w:rPr>
          <w:rFonts w:hint="cs"/>
          <w:rtl/>
        </w:rPr>
        <w:t>ביטול חמץ</w:t>
      </w:r>
      <w:r w:rsidR="00690772">
        <w:rPr>
          <w:rFonts w:hint="cs"/>
          <w:rtl/>
        </w:rPr>
        <w:t>:</w:t>
      </w:r>
    </w:p>
    <w:p w14:paraId="5AEF5943" w14:textId="392ABFD7" w:rsidR="00E322BD" w:rsidRDefault="00660A0D" w:rsidP="00BC54EC">
      <w:pPr>
        <w:spacing w:after="120"/>
        <w:jc w:val="both"/>
        <w:rPr>
          <w:rtl/>
        </w:rPr>
      </w:pPr>
      <w:r>
        <w:rPr>
          <w:rFonts w:hint="cs"/>
          <w:rtl/>
        </w:rPr>
        <w:t>רש"י ד"ה בביטול בעלמא, תוד"ה מדאורייתא, רמב"ן כאן</w:t>
      </w:r>
      <w:r w:rsidR="002143EA">
        <w:rPr>
          <w:rFonts w:hint="cs"/>
          <w:rtl/>
        </w:rPr>
        <w:t>, [הערות רב איסר זלמן מלצר על הרמב"ן]</w:t>
      </w:r>
    </w:p>
    <w:p w14:paraId="380E73E5" w14:textId="4B61EE63" w:rsidR="002143EA" w:rsidRDefault="002143EA" w:rsidP="00BC54EC">
      <w:pPr>
        <w:spacing w:after="120"/>
        <w:jc w:val="both"/>
        <w:rPr>
          <w:rtl/>
        </w:rPr>
      </w:pPr>
      <w:r>
        <w:rPr>
          <w:rFonts w:hint="cs"/>
          <w:rtl/>
        </w:rPr>
        <w:t>רמב"ם חמץ ומצה ב:א-ב</w:t>
      </w:r>
    </w:p>
    <w:p w14:paraId="3EFCD22E" w14:textId="77777777" w:rsidR="00C868AA" w:rsidRDefault="00C868AA" w:rsidP="00BC54EC">
      <w:pPr>
        <w:spacing w:after="120"/>
        <w:jc w:val="both"/>
      </w:pPr>
    </w:p>
    <w:p w14:paraId="5D01DAFE" w14:textId="77777777" w:rsidR="00875C4A" w:rsidRPr="00875C4A" w:rsidRDefault="00875C4A" w:rsidP="00875C4A">
      <w:pPr>
        <w:autoSpaceDE w:val="0"/>
        <w:autoSpaceDN w:val="0"/>
        <w:adjustRightInd w:val="0"/>
        <w:jc w:val="both"/>
        <w:rPr>
          <w:u w:val="single"/>
          <w:rtl/>
        </w:rPr>
      </w:pPr>
      <w:r w:rsidRPr="00875C4A">
        <w:rPr>
          <w:u w:val="single"/>
          <w:rtl/>
        </w:rPr>
        <w:t>רבינו מנוח - ספר המנוחה הלכות חמץ ומצה פרק ב הלכה יח</w:t>
      </w:r>
    </w:p>
    <w:p w14:paraId="2B3B3763" w14:textId="424224C4" w:rsidR="00875C4A" w:rsidRDefault="00875C4A" w:rsidP="00875C4A">
      <w:pPr>
        <w:autoSpaceDE w:val="0"/>
        <w:autoSpaceDN w:val="0"/>
        <w:adjustRightInd w:val="0"/>
        <w:jc w:val="both"/>
        <w:rPr>
          <w:rtl/>
        </w:rPr>
      </w:pPr>
      <w:r>
        <w:rPr>
          <w:rtl/>
        </w:rPr>
        <w:t>כתב הרב המשכיר בית בחזקת שהוא בדוק ונמצא שאינו בדוק על השוכר לבדוק. אמר המפרש ואף על פי שהתנה עמו שהבית בדוק אינו יכול לחזור בזה משכירותו שהרי מצוה הוא עושה ואמרינן בגמרא לא מבעיא באתרא דלא יהבי אגרא ובדקי דלא הוי מקח טעות אלא אפילו באתרא דיהבי אגרא ובדקו לא הוי מקח טעות דניחא ליה לאינש לקיומי מצוה בין בגופי' בין בממוניה ואף על גב דחזינן ליה דקפיד בהכי עד דמזמין ליה לדינא אפ"ה לא שמעינן ליה דבטלה דעתו אצל כל אדם ולא מן הדין הוא זה אלא שרצו חכמים לקנסו כדי שלא ירגילו לפרוק מעליהם עול המצות שהרי זה שרוצה לחזור משכירותו בשביל טורח מצוה זו הולך בשרירות לבו ומפני זה להכניע לבו הערל הטילו חכמים עליו לבדוק ואפילו במקום שבודקין בשכר. ואי קשיא לך הא דאמרינן לעיל ככר בפי נחש אינו צריך חבר להוציאו דמשמע דבגופיה אטרחוה רבנן בממוניה לא אטרחוה רבנן לא תיקשי לך דההיא דחבר הוצאה מרובה היא וכל כי האי לא אטרחוה רבנן בממוניה אבל הכא הוצאה מעוטה היא וניחא ליה לאינוש לקיומי מצוה בין בגופיה בין בממוניה א"נ דההיא דחבר משתעיא בבית בדוק ואח"כ נכנס בו נחש וככר בפיו ומשום הכי אמרינן דלא אטרחוה בממוניה מאחר שבדק כמצות חכמים אבל הכא מיירי בבית שאינו בדוק כלל ולא קיים בו מצות חכמים. ועוד יש לתרץ דההיא דככר בפי נחש הואיל ואי אפשר למעבד בגופיה לא אטרחוה רבנן אבל הכא הא אפשר למעבד בגופיה ומש"ה אטרחוה בממוניה:</w:t>
      </w:r>
    </w:p>
    <w:p w14:paraId="7E8954FB" w14:textId="758E22F5" w:rsidR="00CF15CD" w:rsidRDefault="00CF15CD" w:rsidP="00875C4A">
      <w:pPr>
        <w:autoSpaceDE w:val="0"/>
        <w:autoSpaceDN w:val="0"/>
        <w:adjustRightInd w:val="0"/>
        <w:jc w:val="both"/>
        <w:rPr>
          <w:rtl/>
        </w:rPr>
      </w:pPr>
    </w:p>
    <w:p w14:paraId="5A25294E" w14:textId="77777777" w:rsidR="00CF15CD" w:rsidRPr="00660A0D" w:rsidRDefault="00CF15CD" w:rsidP="00CF15CD">
      <w:pPr>
        <w:autoSpaceDE w:val="0"/>
        <w:autoSpaceDN w:val="0"/>
        <w:adjustRightInd w:val="0"/>
        <w:jc w:val="both"/>
        <w:rPr>
          <w:u w:val="single"/>
          <w:rtl/>
        </w:rPr>
      </w:pPr>
      <w:r w:rsidRPr="00660A0D">
        <w:rPr>
          <w:u w:val="single"/>
          <w:rtl/>
        </w:rPr>
        <w:t>חידושי הריטב"א מסכת בבא מציעא דף כט עמוד ב</w:t>
      </w:r>
    </w:p>
    <w:p w14:paraId="19C8A723" w14:textId="0EEBD4CD" w:rsidR="00875C4A" w:rsidRDefault="00CF15CD" w:rsidP="00660A0D">
      <w:pPr>
        <w:autoSpaceDE w:val="0"/>
        <w:autoSpaceDN w:val="0"/>
        <w:adjustRightInd w:val="0"/>
        <w:jc w:val="both"/>
        <w:rPr>
          <w:rtl/>
        </w:rPr>
      </w:pPr>
      <w:r>
        <w:rPr>
          <w:rtl/>
        </w:rPr>
        <w:t>סד"א ניחא ליה לאיניש דליתעביד מצוה בממוניה קמ"ל. פי' קמ"ל דבהא כיון דאיכא קפידא לקלקול הספר לא ניחא ליה דהא יצא שכרו בהפסדו כי היום או מחר לא יהיה לו ספר במה ללמוד, אבל במידי דליכא שום חשש קלקול ודאי יכול לשאול שלא מדעת הבעלים למעבד מצוה, כגון אם מצא טלית או תפילין של חבירו בבית הכנסת וכיוצא בו רשאי להניחן שם ולהחזירן למקומן ולא חשיב גזלן כששאל שלא מדעת בעלים, מפי רבינו ז"ל.</w:t>
      </w:r>
    </w:p>
    <w:p w14:paraId="084F6889" w14:textId="6969FBC0" w:rsidR="00660A0D" w:rsidRDefault="00660A0D" w:rsidP="00660A0D">
      <w:pPr>
        <w:autoSpaceDE w:val="0"/>
        <w:autoSpaceDN w:val="0"/>
        <w:adjustRightInd w:val="0"/>
        <w:jc w:val="both"/>
        <w:rPr>
          <w:rtl/>
        </w:rPr>
      </w:pPr>
    </w:p>
    <w:p w14:paraId="30E872E6" w14:textId="77777777" w:rsidR="00660A0D" w:rsidRPr="00660A0D" w:rsidRDefault="00660A0D" w:rsidP="00660A0D">
      <w:pPr>
        <w:autoSpaceDE w:val="0"/>
        <w:autoSpaceDN w:val="0"/>
        <w:adjustRightInd w:val="0"/>
        <w:jc w:val="both"/>
        <w:rPr>
          <w:u w:val="single"/>
          <w:rtl/>
        </w:rPr>
      </w:pPr>
      <w:r w:rsidRPr="00660A0D">
        <w:rPr>
          <w:u w:val="single"/>
          <w:rtl/>
        </w:rPr>
        <w:t>בית הבחירה (מאירי) מסכת בבא מציעא דף כט עמוד ב</w:t>
      </w:r>
    </w:p>
    <w:p w14:paraId="459B034A" w14:textId="7D8375E0" w:rsidR="000E0829" w:rsidRPr="00970BA2" w:rsidRDefault="00660A0D" w:rsidP="0084048B">
      <w:pPr>
        <w:autoSpaceDE w:val="0"/>
        <w:autoSpaceDN w:val="0"/>
        <w:adjustRightInd w:val="0"/>
        <w:jc w:val="both"/>
        <w:rPr>
          <w:rtl/>
        </w:rPr>
      </w:pPr>
      <w:r>
        <w:rPr>
          <w:rtl/>
        </w:rPr>
        <w:t>השואל ספר תורה מחברו בסתם הרי זה לא ישאלנו לאחר וכבר ידעת שאף בכל הדברים כן שהרי אמרו אין השואל רשאי להשאיל ולא השוכר רשאי להשכיר אלא שבספר תורה הוצרך להשמיענו כן שהייתי סבור לומר שיהא מותר להשאיל מן הסתם מפני שנוח לו לאדם לקיים מצוה ובא ולימד שאף בספר תורה אסור ושמא תאמר והלא בפסחים אמרו מן הסתם ניחא ליה לאיניש לקיומי מצוה בין בגופיה בין בממוניה תירצוה כשהוא עצמו מקיימה אבל על ידי אחר לא וגדולי הצרפתים כתבו בחבוריהם שבענין ביעור אינו אלא מצוה אחת ונוח לו לאדם לקיים מצוה אחת על ידי ממונו הא מצוה אחר מצוה חס הוא על ממונו ואינו רוצה ואם כן כשהשאילו הרי יש כאן מצוה ואינו חס על משמוש יריעותיו הא מצוה אחרת ליתן רשות מן הסתם לזה להשאילה אינו רוצה ולמדו מכאן שמשכונת הספרים אין צריכה (נכיסה) [נכייתא] ויכול מקבל המשכון לקרות בהם שנוח לו לקיים מצוה אלא שהם אמרו שלא ילמד בהם בתחלה כמו שנשנית כאן הא אם השאילה לאחר צריכה (נכיסה) [נכייתא]:</w:t>
      </w:r>
    </w:p>
    <w:sectPr w:rsidR="000E0829" w:rsidRPr="00970BA2" w:rsidSect="001D3353">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F079" w14:textId="77777777" w:rsidR="00825DAB" w:rsidRDefault="00825DAB">
      <w:r>
        <w:separator/>
      </w:r>
    </w:p>
  </w:endnote>
  <w:endnote w:type="continuationSeparator" w:id="0">
    <w:p w14:paraId="5C156DC7" w14:textId="77777777" w:rsidR="00825DAB" w:rsidRDefault="0082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5887" w14:textId="77777777" w:rsidR="00825DAB" w:rsidRDefault="00825DAB">
      <w:r>
        <w:separator/>
      </w:r>
    </w:p>
  </w:footnote>
  <w:footnote w:type="continuationSeparator" w:id="0">
    <w:p w14:paraId="6D93F1CB" w14:textId="77777777" w:rsidR="00825DAB" w:rsidRDefault="00825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1CA7"/>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237"/>
    <w:rsid w:val="00843780"/>
    <w:rsid w:val="00843E25"/>
    <w:rsid w:val="008443E8"/>
    <w:rsid w:val="0084445E"/>
    <w:rsid w:val="0084446A"/>
    <w:rsid w:val="008445E1"/>
    <w:rsid w:val="008446BB"/>
    <w:rsid w:val="00844D22"/>
    <w:rsid w:val="00844FC8"/>
    <w:rsid w:val="00844FFE"/>
    <w:rsid w:val="008450ED"/>
    <w:rsid w:val="00845300"/>
    <w:rsid w:val="0084544F"/>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1C5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F6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DB1F-A6CB-4AB1-8363-D6B6ECE6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2020-07-02T05:54:00Z</cp:lastPrinted>
  <dcterms:created xsi:type="dcterms:W3CDTF">2020-10-20T07:00:00Z</dcterms:created>
  <dcterms:modified xsi:type="dcterms:W3CDTF">2020-10-23T04:13:00Z</dcterms:modified>
</cp:coreProperties>
</file>