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26"/>
          <w:szCs w:val="26"/>
          <w:highlight w:val="white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highlight w:val="white"/>
          <w:rtl w:val="1"/>
        </w:rPr>
        <w:t xml:space="preserve">בס</w:t>
      </w:r>
      <w:r w:rsidDel="00000000" w:rsidR="00000000" w:rsidRPr="00000000">
        <w:rPr>
          <w:rFonts w:ascii="Times" w:cs="Times" w:eastAsia="Times" w:hAnsi="Times"/>
          <w:sz w:val="26"/>
          <w:szCs w:val="26"/>
          <w:highlight w:val="white"/>
          <w:rtl w:val="1"/>
        </w:rPr>
        <w:t xml:space="preserve">"</w:t>
      </w:r>
      <w:r w:rsidDel="00000000" w:rsidR="00000000" w:rsidRPr="00000000">
        <w:rPr>
          <w:rFonts w:ascii="Times" w:cs="Times" w:eastAsia="Times" w:hAnsi="Times"/>
          <w:sz w:val="26"/>
          <w:szCs w:val="26"/>
          <w:highlight w:val="white"/>
          <w:rtl w:val="1"/>
        </w:rPr>
        <w:t xml:space="preserve">ד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sz w:val="54"/>
          <w:szCs w:val="54"/>
          <w:highlight w:val="white"/>
        </w:rPr>
      </w:pP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נצי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"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נח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תשע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"</w:t>
      </w:r>
      <w:r w:rsidDel="00000000" w:rsidR="00000000" w:rsidRPr="00000000">
        <w:rPr>
          <w:rFonts w:ascii="Times" w:cs="Times" w:eastAsia="Times" w:hAnsi="Times"/>
          <w:sz w:val="54"/>
          <w:szCs w:val="54"/>
          <w:highlight w:val="white"/>
          <w:rtl w:val="1"/>
        </w:rPr>
        <w:t xml:space="preserve">ח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54"/>
          <w:szCs w:val="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54"/>
          <w:szCs w:val="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54"/>
          <w:szCs w:val="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color w:val="000000"/>
          <w:sz w:val="36"/>
          <w:szCs w:val="36"/>
          <w:highlight w:val="white"/>
        </w:rPr>
      </w:pPr>
      <w:hyperlink r:id="rId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1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ֵ֚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ֹ֣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ַ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ַ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ִ֥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ִּ֛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ִ֥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ֹֽ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ָֽ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ִ֖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ִֽ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ְ־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ֹֽ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ַ׃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color w:val="000000"/>
          <w:sz w:val="36"/>
          <w:szCs w:val="36"/>
          <w:highlight w:val="white"/>
        </w:rPr>
      </w:pPr>
      <w:hyperlink r:id="rId1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1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1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1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1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2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2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2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2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2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תמים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בדרתיו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משמעותו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להיפך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תמים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משמש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לחבירו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וסיפר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הכתוב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דנח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תמים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שנגמר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צדקו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הדורות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שעברו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אנשי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דורותיו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0"/>
        </w:rPr>
        <w:t xml:space="preserve">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האלקים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התהלך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נח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המזג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בטבעו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שמכ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לקבל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שכרו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להגן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בדרך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במקום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סכנה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ושיש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ריתחא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בעולם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בשעת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המבול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בהתגברות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טבעו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שידע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רצונו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ומש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כדאי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ניצול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בהשגחה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פרטית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השטף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יבואר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הכלל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בברכת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ויפת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color w:val="000000"/>
          <w:sz w:val="36"/>
          <w:szCs w:val="36"/>
          <w:highlight w:val="white"/>
        </w:rPr>
      </w:pPr>
      <w:hyperlink r:id="rId2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הרחב</w:t>
        </w:r>
      </w:hyperlink>
      <w:hyperlink r:id="rId2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2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3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3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3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3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3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לשון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ברכות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דמחלק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נתבאר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הענין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יבואר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בישעיה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מעלליהם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יאכלו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ידיו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בקידושין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למדנו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דצדיק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נאמר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פרי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מעלליהם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יאכלו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פירותיו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וקשה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שבחו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לחבירו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מקבל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שכרו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דמא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שקיבל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שכרו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כיבוד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סיפי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ידיו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אפילו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נענש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מרחמין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הכוונה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דודאי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מצד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טבעו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ומזגו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להיפך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ולבו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וחומל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בתחלת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הליכות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בעולמו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וקשה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להפוך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הלב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לאחר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משתנה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מצד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יראת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רחמן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והרגלו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יעשה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להיפך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משתנה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לאט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לאט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וחומד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ואכזר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ונקרא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רע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שביארנו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במשלי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חמד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מצוד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ישעיה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הנביא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שבחו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יגיע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בסוף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להעשות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מעלליהם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יאכלו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שיגיע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רשעותו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לידי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ידיו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ועדיין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הטעם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פשוט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באופן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כדאי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בנדה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מקיים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לחוד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מתפרש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שרשעתו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מכש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ומגיע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ומעתה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מובן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לשון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ברכות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דצדיק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שנגמר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הליכותיו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בצדקתו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שנשתנה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טבעו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היינו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ובזה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נגמר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שיהפוך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לבו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אזי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משום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עה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הלשון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גמור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שבתלמוד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בלשון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המקרא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תמים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color w:val="000000"/>
          <w:sz w:val="36"/>
          <w:szCs w:val="36"/>
          <w:highlight w:val="white"/>
        </w:rPr>
      </w:pPr>
      <w:hyperlink r:id="rId3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3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4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4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4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4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4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4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4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5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5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5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ברוך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אלקי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שם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הנה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מצות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כבוד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אב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גורם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לשכר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ופרי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כידוע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מעשה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דדמא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u w:val="single"/>
          <w:rtl w:val="1"/>
        </w:rPr>
        <w:t xml:space="preserve">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0"/>
        </w:rPr>
        <w:t xml:space="preserve">. 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קידושין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׳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רבא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אידי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אסברא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ישעיהו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מעלליהם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יאכלו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צדיק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כיוצא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בדבר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אתה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ישעיהו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ידיו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רשע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" w:cs="Times" w:eastAsia="Times" w:hAnsi="Times"/>
          <w:b w:val="1"/>
          <w:color w:val="000000"/>
          <w:sz w:val="36"/>
          <w:szCs w:val="36"/>
          <w:highlight w:val="white"/>
        </w:rPr>
      </w:pPr>
      <w:hyperlink r:id="rId5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5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5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5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ויקרא</w:t>
        </w:r>
      </w:hyperlink>
      <w:hyperlink r:id="rId6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61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62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63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ה</w:t>
        </w:r>
      </w:hyperlink>
      <w:hyperlink r:id="rId64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65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66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67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ז</w:t>
        </w:r>
      </w:hyperlink>
      <w:hyperlink r:id="rId68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69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70">
        <w:r w:rsidDel="00000000" w:rsidR="00000000" w:rsidRPr="00000000">
          <w:rPr>
            <w:rFonts w:ascii="Times" w:cs="Times" w:eastAsia="Times" w:hAnsi="Times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ומך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אחיך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עמו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פרש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גרם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שימוך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דבוקו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משובח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בשביל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דבוקו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עמך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השבח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מועיל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ערכו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ועדיין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הדבר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צריך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טעם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עניות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ועשירות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בעוה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עונשי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עבירות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למקום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לחבירו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כדאי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בשבת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דקנ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מרחמין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השמים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ועוד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מאמרים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מדבק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למנהגי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ומדותיהם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רחמנים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וגומלי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חסדים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עשיר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ואיך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שמדבק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לתושב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נבלות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וכדומה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מדת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שבשביל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והרי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התושב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רחמן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וגמ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נבלות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לדעת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הגוף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גבוה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תחתיו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חלש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מאבד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נפסד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חומרו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גרוע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שתחתיו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שחומרו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בריא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בלי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גבוה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דצח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הצומח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מפסיד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הצמיחה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גרוע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הדומם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בחי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ומדבר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הרוח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והנפש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שהצורה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אותו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הנפש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במעלה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עליונה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חלוש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מפסיד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מעלה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מתקלקל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נפשו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שצורת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רוחו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ונפשו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דעת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שיהא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מתנהג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ובנקיות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ובטוב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הבריות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הצורה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הזאת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למי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בשלמות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מתקלקלת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מהר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עבודת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האלקים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משחית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זאת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נפסד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חומר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הנפש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האנושית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נקיה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משקוצים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וגם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חומל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כפי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טבע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אברהם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יצחק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ויעקב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שיהיו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רחמנים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משחית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נפשו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הישראלית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נברא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ונוצר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והנה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לענין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שנפסד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נפשו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האנושית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לענין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נקיות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ולאכול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שקוצים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הכותי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ביארנו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לעיל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הספר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וכאן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רמז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שהכותי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תושב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לעבוד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עבודת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ולהתקרב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מרגיל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למדות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אנושיות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חומל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ומרחם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וכדומה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ומשום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עשיר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שאוכל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עדיין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נבילות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מזיק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למדת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הרחמים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וחמלה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שהרי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נתחייב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להזהר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מנבלות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הפסיד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שמדבק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התושב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ואוכל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נבילות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ומסיר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עבודת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משחית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לבסוף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צורתו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האנושית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ונעשה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ואכזר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ואז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מגיע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לבסוף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להיות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מך</w:t>
      </w:r>
      <w:r w:rsidDel="00000000" w:rsidR="00000000" w:rsidRPr="00000000">
        <w:rPr>
          <w:rFonts w:ascii="Times" w:cs="Times" w:eastAsia="Times" w:hAnsi="Times"/>
          <w:sz w:val="36"/>
          <w:szCs w:val="36"/>
          <w:highlight w:val="white"/>
          <w:rtl w:val="1"/>
        </w:rPr>
        <w:t xml:space="preserve">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color w:val="333333"/>
        </w:rPr>
      </w:pPr>
      <w:r w:rsidDel="00000000" w:rsidR="00000000" w:rsidRPr="00000000">
        <w:rPr>
          <w:i w:val="1"/>
          <w:color w:val="999999"/>
          <w:rtl w:val="0"/>
        </w:rPr>
        <w:t xml:space="preserve">Source Sheet created on Sefaria by </w:t>
      </w:r>
      <w:hyperlink r:id="rId71">
        <w:r w:rsidDel="00000000" w:rsidR="00000000" w:rsidRPr="00000000">
          <w:rPr>
            <w:i w:val="1"/>
            <w:color w:val="333333"/>
            <w:rtl w:val="0"/>
          </w:rPr>
          <w:t xml:space="preserve">David Perkel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efaria.org/Haamek_Davar_on_Genesis.9.26.2" TargetMode="External"/><Relationship Id="rId42" Type="http://schemas.openxmlformats.org/officeDocument/2006/relationships/hyperlink" Target="https://www.sefaria.org/Haamek_Davar_on_Genesis.9.26.2" TargetMode="External"/><Relationship Id="rId41" Type="http://schemas.openxmlformats.org/officeDocument/2006/relationships/hyperlink" Target="https://www.sefaria.org/Haamek_Davar_on_Genesis.9.26.2" TargetMode="External"/><Relationship Id="rId44" Type="http://schemas.openxmlformats.org/officeDocument/2006/relationships/hyperlink" Target="https://www.sefaria.org/Haamek_Davar_on_Genesis.9.26.2" TargetMode="External"/><Relationship Id="rId43" Type="http://schemas.openxmlformats.org/officeDocument/2006/relationships/hyperlink" Target="https://www.sefaria.org/Haamek_Davar_on_Genesis.9.26.2" TargetMode="External"/><Relationship Id="rId46" Type="http://schemas.openxmlformats.org/officeDocument/2006/relationships/hyperlink" Target="https://www.sefaria.org/Haamek_Davar_on_Genesis.9.26.2" TargetMode="External"/><Relationship Id="rId45" Type="http://schemas.openxmlformats.org/officeDocument/2006/relationships/hyperlink" Target="https://www.sefaria.org/Haamek_Davar_on_Genesis.9.26.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sefaria.org/Genesis.6.9" TargetMode="External"/><Relationship Id="rId48" Type="http://schemas.openxmlformats.org/officeDocument/2006/relationships/hyperlink" Target="https://www.sefaria.org/Haamek_Davar_on_Genesis.9.26.2" TargetMode="External"/><Relationship Id="rId47" Type="http://schemas.openxmlformats.org/officeDocument/2006/relationships/hyperlink" Target="https://www.sefaria.org/Haamek_Davar_on_Genesis.9.26.2" TargetMode="External"/><Relationship Id="rId49" Type="http://schemas.openxmlformats.org/officeDocument/2006/relationships/hyperlink" Target="https://www.sefaria.org/Haamek_Davar_on_Genesis.9.26.2" TargetMode="External"/><Relationship Id="rId5" Type="http://schemas.openxmlformats.org/officeDocument/2006/relationships/hyperlink" Target="https://www.sefaria.org/Genesis.6.9" TargetMode="External"/><Relationship Id="rId6" Type="http://schemas.openxmlformats.org/officeDocument/2006/relationships/hyperlink" Target="https://www.sefaria.org/Genesis.6.9" TargetMode="External"/><Relationship Id="rId7" Type="http://schemas.openxmlformats.org/officeDocument/2006/relationships/hyperlink" Target="https://www.sefaria.org/Genesis.6.9" TargetMode="External"/><Relationship Id="rId8" Type="http://schemas.openxmlformats.org/officeDocument/2006/relationships/hyperlink" Target="https://www.sefaria.org/Genesis.6.9" TargetMode="External"/><Relationship Id="rId31" Type="http://schemas.openxmlformats.org/officeDocument/2006/relationships/hyperlink" Target="https://www.sefaria.org/Harchev_Davar_on_Genesis.6.9" TargetMode="External"/><Relationship Id="rId30" Type="http://schemas.openxmlformats.org/officeDocument/2006/relationships/hyperlink" Target="https://www.sefaria.org/Harchev_Davar_on_Genesis.6.9" TargetMode="External"/><Relationship Id="rId33" Type="http://schemas.openxmlformats.org/officeDocument/2006/relationships/hyperlink" Target="https://www.sefaria.org/Harchev_Davar_on_Genesis.6.9" TargetMode="External"/><Relationship Id="rId32" Type="http://schemas.openxmlformats.org/officeDocument/2006/relationships/hyperlink" Target="https://www.sefaria.org/Harchev_Davar_on_Genesis.6.9" TargetMode="External"/><Relationship Id="rId35" Type="http://schemas.openxmlformats.org/officeDocument/2006/relationships/hyperlink" Target="https://www.sefaria.org/Harchev_Davar_on_Genesis.6.9" TargetMode="External"/><Relationship Id="rId34" Type="http://schemas.openxmlformats.org/officeDocument/2006/relationships/hyperlink" Target="https://www.sefaria.org/Harchev_Davar_on_Genesis.6.9" TargetMode="External"/><Relationship Id="rId71" Type="http://schemas.openxmlformats.org/officeDocument/2006/relationships/hyperlink" Target="https://www.sefaria.org/profile/david-perkel" TargetMode="External"/><Relationship Id="rId70" Type="http://schemas.openxmlformats.org/officeDocument/2006/relationships/hyperlink" Target="https://www.sefaria.org/Haamek_Davar_on_Leviticus.25.47.1" TargetMode="External"/><Relationship Id="rId37" Type="http://schemas.openxmlformats.org/officeDocument/2006/relationships/hyperlink" Target="https://www.sefaria.org/Haamek_Davar_on_Genesis.9.26.2" TargetMode="External"/><Relationship Id="rId36" Type="http://schemas.openxmlformats.org/officeDocument/2006/relationships/hyperlink" Target="https://www.sefaria.org/Harchev_Davar_on_Genesis.6.9" TargetMode="External"/><Relationship Id="rId39" Type="http://schemas.openxmlformats.org/officeDocument/2006/relationships/hyperlink" Target="https://www.sefaria.org/Haamek_Davar_on_Genesis.9.26.2" TargetMode="External"/><Relationship Id="rId38" Type="http://schemas.openxmlformats.org/officeDocument/2006/relationships/hyperlink" Target="https://www.sefaria.org/Haamek_Davar_on_Genesis.9.26.2" TargetMode="External"/><Relationship Id="rId62" Type="http://schemas.openxmlformats.org/officeDocument/2006/relationships/hyperlink" Target="https://www.sefaria.org/Haamek_Davar_on_Leviticus.25.47.1" TargetMode="External"/><Relationship Id="rId61" Type="http://schemas.openxmlformats.org/officeDocument/2006/relationships/hyperlink" Target="https://www.sefaria.org/Haamek_Davar_on_Leviticus.25.47.1" TargetMode="External"/><Relationship Id="rId20" Type="http://schemas.openxmlformats.org/officeDocument/2006/relationships/hyperlink" Target="https://www.sefaria.org/Haamek_Davar_on_Genesis.6.9.2" TargetMode="External"/><Relationship Id="rId64" Type="http://schemas.openxmlformats.org/officeDocument/2006/relationships/hyperlink" Target="https://www.sefaria.org/Haamek_Davar_on_Leviticus.25.47.1" TargetMode="External"/><Relationship Id="rId63" Type="http://schemas.openxmlformats.org/officeDocument/2006/relationships/hyperlink" Target="https://www.sefaria.org/Haamek_Davar_on_Leviticus.25.47.1" TargetMode="External"/><Relationship Id="rId22" Type="http://schemas.openxmlformats.org/officeDocument/2006/relationships/hyperlink" Target="https://www.sefaria.org/Haamek_Davar_on_Genesis.6.9.2" TargetMode="External"/><Relationship Id="rId66" Type="http://schemas.openxmlformats.org/officeDocument/2006/relationships/hyperlink" Target="https://www.sefaria.org/Haamek_Davar_on_Leviticus.25.47.1" TargetMode="External"/><Relationship Id="rId21" Type="http://schemas.openxmlformats.org/officeDocument/2006/relationships/hyperlink" Target="https://www.sefaria.org/Haamek_Davar_on_Genesis.6.9.2" TargetMode="External"/><Relationship Id="rId65" Type="http://schemas.openxmlformats.org/officeDocument/2006/relationships/hyperlink" Target="https://www.sefaria.org/Haamek_Davar_on_Leviticus.25.47.1" TargetMode="External"/><Relationship Id="rId24" Type="http://schemas.openxmlformats.org/officeDocument/2006/relationships/hyperlink" Target="https://www.sefaria.org/Haamek_Davar_on_Genesis.6.9.2" TargetMode="External"/><Relationship Id="rId68" Type="http://schemas.openxmlformats.org/officeDocument/2006/relationships/hyperlink" Target="https://www.sefaria.org/Haamek_Davar_on_Leviticus.25.47.1" TargetMode="External"/><Relationship Id="rId23" Type="http://schemas.openxmlformats.org/officeDocument/2006/relationships/hyperlink" Target="https://www.sefaria.org/Haamek_Davar_on_Genesis.6.9.2" TargetMode="External"/><Relationship Id="rId67" Type="http://schemas.openxmlformats.org/officeDocument/2006/relationships/hyperlink" Target="https://www.sefaria.org/Haamek_Davar_on_Leviticus.25.47.1" TargetMode="External"/><Relationship Id="rId60" Type="http://schemas.openxmlformats.org/officeDocument/2006/relationships/hyperlink" Target="https://www.sefaria.org/Haamek_Davar_on_Leviticus.25.47.1" TargetMode="External"/><Relationship Id="rId26" Type="http://schemas.openxmlformats.org/officeDocument/2006/relationships/hyperlink" Target="https://www.sefaria.org/Harchev_Davar_on_Genesis.6.9" TargetMode="External"/><Relationship Id="rId25" Type="http://schemas.openxmlformats.org/officeDocument/2006/relationships/hyperlink" Target="https://www.sefaria.org/Harchev_Davar_on_Genesis.6.9" TargetMode="External"/><Relationship Id="rId69" Type="http://schemas.openxmlformats.org/officeDocument/2006/relationships/hyperlink" Target="https://www.sefaria.org/Haamek_Davar_on_Leviticus.25.47.1" TargetMode="External"/><Relationship Id="rId28" Type="http://schemas.openxmlformats.org/officeDocument/2006/relationships/hyperlink" Target="https://www.sefaria.org/Harchev_Davar_on_Genesis.6.9" TargetMode="External"/><Relationship Id="rId27" Type="http://schemas.openxmlformats.org/officeDocument/2006/relationships/hyperlink" Target="https://www.sefaria.org/Harchev_Davar_on_Genesis.6.9" TargetMode="External"/><Relationship Id="rId29" Type="http://schemas.openxmlformats.org/officeDocument/2006/relationships/hyperlink" Target="https://www.sefaria.org/Harchev_Davar_on_Genesis.6.9" TargetMode="External"/><Relationship Id="rId51" Type="http://schemas.openxmlformats.org/officeDocument/2006/relationships/hyperlink" Target="https://www.sefaria.org/Haamek_Davar_on_Genesis.9.26.2" TargetMode="External"/><Relationship Id="rId50" Type="http://schemas.openxmlformats.org/officeDocument/2006/relationships/hyperlink" Target="https://www.sefaria.org/Haamek_Davar_on_Genesis.9.26.2" TargetMode="External"/><Relationship Id="rId53" Type="http://schemas.openxmlformats.org/officeDocument/2006/relationships/hyperlink" Target="https://www.sefaria.org/Haamek_Davar_on_Leviticus.25.47.1" TargetMode="External"/><Relationship Id="rId52" Type="http://schemas.openxmlformats.org/officeDocument/2006/relationships/hyperlink" Target="https://www.sefaria.org/Haamek_Davar_on_Genesis.9.26.2" TargetMode="External"/><Relationship Id="rId11" Type="http://schemas.openxmlformats.org/officeDocument/2006/relationships/hyperlink" Target="https://www.sefaria.org/Haamek_Davar_on_Genesis.6.9.2" TargetMode="External"/><Relationship Id="rId55" Type="http://schemas.openxmlformats.org/officeDocument/2006/relationships/hyperlink" Target="https://www.sefaria.org/Haamek_Davar_on_Leviticus.25.47.1" TargetMode="External"/><Relationship Id="rId10" Type="http://schemas.openxmlformats.org/officeDocument/2006/relationships/hyperlink" Target="https://www.sefaria.org/Genesis.6.9" TargetMode="External"/><Relationship Id="rId54" Type="http://schemas.openxmlformats.org/officeDocument/2006/relationships/hyperlink" Target="https://www.sefaria.org/Haamek_Davar_on_Leviticus.25.47.1" TargetMode="External"/><Relationship Id="rId13" Type="http://schemas.openxmlformats.org/officeDocument/2006/relationships/hyperlink" Target="https://www.sefaria.org/Haamek_Davar_on_Genesis.6.9.2" TargetMode="External"/><Relationship Id="rId57" Type="http://schemas.openxmlformats.org/officeDocument/2006/relationships/hyperlink" Target="https://www.sefaria.org/Haamek_Davar_on_Leviticus.25.47.1" TargetMode="External"/><Relationship Id="rId12" Type="http://schemas.openxmlformats.org/officeDocument/2006/relationships/hyperlink" Target="https://www.sefaria.org/Haamek_Davar_on_Genesis.6.9.2" TargetMode="External"/><Relationship Id="rId56" Type="http://schemas.openxmlformats.org/officeDocument/2006/relationships/hyperlink" Target="https://www.sefaria.org/Haamek_Davar_on_Leviticus.25.47.1" TargetMode="External"/><Relationship Id="rId15" Type="http://schemas.openxmlformats.org/officeDocument/2006/relationships/hyperlink" Target="https://www.sefaria.org/Haamek_Davar_on_Genesis.6.9.2" TargetMode="External"/><Relationship Id="rId59" Type="http://schemas.openxmlformats.org/officeDocument/2006/relationships/hyperlink" Target="https://www.sefaria.org/Haamek_Davar_on_Leviticus.25.47.1" TargetMode="External"/><Relationship Id="rId14" Type="http://schemas.openxmlformats.org/officeDocument/2006/relationships/hyperlink" Target="https://www.sefaria.org/Haamek_Davar_on_Genesis.6.9.2" TargetMode="External"/><Relationship Id="rId58" Type="http://schemas.openxmlformats.org/officeDocument/2006/relationships/hyperlink" Target="https://www.sefaria.org/Haamek_Davar_on_Leviticus.25.47.1" TargetMode="External"/><Relationship Id="rId17" Type="http://schemas.openxmlformats.org/officeDocument/2006/relationships/hyperlink" Target="https://www.sefaria.org/Haamek_Davar_on_Genesis.6.9.2" TargetMode="External"/><Relationship Id="rId16" Type="http://schemas.openxmlformats.org/officeDocument/2006/relationships/hyperlink" Target="https://www.sefaria.org/Haamek_Davar_on_Genesis.6.9.2" TargetMode="External"/><Relationship Id="rId19" Type="http://schemas.openxmlformats.org/officeDocument/2006/relationships/hyperlink" Target="https://www.sefaria.org/Haamek_Davar_on_Genesis.6.9.2" TargetMode="External"/><Relationship Id="rId18" Type="http://schemas.openxmlformats.org/officeDocument/2006/relationships/hyperlink" Target="https://www.sefaria.org/Haamek_Davar_on_Genesis.6.9.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