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DF6F" w14:textId="250AEBBA" w:rsidR="00247D78" w:rsidRDefault="00097C52" w:rsidP="00247D78">
      <w:pPr>
        <w:autoSpaceDE w:val="0"/>
        <w:autoSpaceDN w:val="0"/>
        <w:bidi/>
        <w:adjustRightInd w:val="0"/>
        <w:rPr>
          <w:rFonts w:cs="David"/>
          <w:bCs/>
          <w:sz w:val="36"/>
          <w:szCs w:val="28"/>
          <w:rtl/>
        </w:rPr>
      </w:pPr>
      <w:r>
        <w:rPr>
          <w:rFonts w:cs="David" w:hint="cs"/>
          <w:bCs/>
          <w:sz w:val="36"/>
          <w:szCs w:val="28"/>
          <w:rtl/>
        </w:rPr>
        <w:t xml:space="preserve">ב"ה  </w:t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/>
          <w:bCs/>
          <w:sz w:val="36"/>
          <w:szCs w:val="28"/>
          <w:rtl/>
        </w:rPr>
        <w:tab/>
      </w:r>
      <w:r>
        <w:rPr>
          <w:rFonts w:cs="David" w:hint="cs"/>
          <w:bCs/>
          <w:sz w:val="36"/>
          <w:szCs w:val="28"/>
          <w:rtl/>
        </w:rPr>
        <w:t>הרב ארי שבט</w:t>
      </w:r>
    </w:p>
    <w:p w14:paraId="7CFF565E" w14:textId="77777777" w:rsidR="00097C52" w:rsidRDefault="00097C52" w:rsidP="00097C52">
      <w:pPr>
        <w:autoSpaceDE w:val="0"/>
        <w:autoSpaceDN w:val="0"/>
        <w:bidi/>
        <w:adjustRightInd w:val="0"/>
        <w:rPr>
          <w:rFonts w:cs="David" w:hint="cs"/>
          <w:bCs/>
          <w:sz w:val="36"/>
          <w:szCs w:val="28"/>
          <w:rtl/>
        </w:rPr>
      </w:pPr>
    </w:p>
    <w:p w14:paraId="531E5919" w14:textId="762475BF" w:rsidR="00247D78" w:rsidRPr="00AC30B3" w:rsidRDefault="00097C52" w:rsidP="00247D78">
      <w:pPr>
        <w:autoSpaceDE w:val="0"/>
        <w:autoSpaceDN w:val="0"/>
        <w:bidi/>
        <w:adjustRightInd w:val="0"/>
        <w:jc w:val="center"/>
        <w:rPr>
          <w:rFonts w:cs="David"/>
          <w:bCs/>
          <w:sz w:val="36"/>
          <w:szCs w:val="36"/>
          <w:u w:val="single"/>
          <w:rtl/>
        </w:rPr>
      </w:pPr>
      <w:r w:rsidRPr="00AC30B3">
        <w:rPr>
          <w:rFonts w:cs="David" w:hint="cs"/>
          <w:bCs/>
          <w:sz w:val="36"/>
          <w:szCs w:val="36"/>
          <w:u w:val="single"/>
          <w:rtl/>
        </w:rPr>
        <w:t>חיוניות ה</w:t>
      </w:r>
      <w:r w:rsidR="00247D78" w:rsidRPr="00AC30B3">
        <w:rPr>
          <w:rFonts w:cs="David" w:hint="cs"/>
          <w:bCs/>
          <w:sz w:val="36"/>
          <w:szCs w:val="36"/>
          <w:u w:val="single"/>
          <w:rtl/>
        </w:rPr>
        <w:t>ענוה</w:t>
      </w:r>
      <w:r w:rsidR="00270183" w:rsidRPr="00AC30B3">
        <w:rPr>
          <w:rFonts w:cs="David" w:hint="cs"/>
          <w:bCs/>
          <w:sz w:val="36"/>
          <w:szCs w:val="36"/>
          <w:u w:val="single"/>
          <w:rtl/>
        </w:rPr>
        <w:t xml:space="preserve"> ללמוד תורה</w:t>
      </w:r>
    </w:p>
    <w:p w14:paraId="1E7E36F3" w14:textId="21AA3B36" w:rsidR="00270183" w:rsidRPr="00AC30B3" w:rsidRDefault="00270183" w:rsidP="00270183">
      <w:pPr>
        <w:autoSpaceDE w:val="0"/>
        <w:autoSpaceDN w:val="0"/>
        <w:adjustRightInd w:val="0"/>
        <w:jc w:val="center"/>
        <w:rPr>
          <w:rFonts w:cs="David" w:hint="cs"/>
          <w:b/>
          <w:sz w:val="36"/>
          <w:szCs w:val="28"/>
          <w:u w:val="single"/>
        </w:rPr>
      </w:pPr>
      <w:r w:rsidRPr="00AC30B3">
        <w:rPr>
          <w:rFonts w:cs="David"/>
          <w:b/>
          <w:sz w:val="36"/>
          <w:szCs w:val="28"/>
          <w:u w:val="single"/>
        </w:rPr>
        <w:t>"The Necessity for Humility to Learn Torah"</w:t>
      </w:r>
    </w:p>
    <w:p w14:paraId="4E4D01A0" w14:textId="77777777" w:rsidR="00247D78" w:rsidRPr="004517D9" w:rsidRDefault="00247D78" w:rsidP="00247D78">
      <w:pPr>
        <w:autoSpaceDE w:val="0"/>
        <w:autoSpaceDN w:val="0"/>
        <w:bidi/>
        <w:adjustRightInd w:val="0"/>
        <w:jc w:val="center"/>
        <w:rPr>
          <w:rFonts w:ascii="David" w:hAnsi="David" w:cs="David"/>
          <w:bCs/>
          <w:sz w:val="26"/>
          <w:szCs w:val="26"/>
          <w:u w:val="single"/>
          <w:rtl/>
        </w:rPr>
      </w:pPr>
    </w:p>
    <w:p w14:paraId="60035124" w14:textId="73BDFA0D" w:rsidR="00270183" w:rsidRPr="004517D9" w:rsidRDefault="00247D78" w:rsidP="00270183">
      <w:pPr>
        <w:autoSpaceDE w:val="0"/>
        <w:autoSpaceDN w:val="0"/>
        <w:bidi/>
        <w:adjustRightInd w:val="0"/>
        <w:rPr>
          <w:rFonts w:ascii="David" w:hAnsi="David" w:cs="David"/>
          <w:bCs/>
          <w:sz w:val="26"/>
          <w:szCs w:val="26"/>
          <w:rtl/>
        </w:rPr>
      </w:pPr>
      <w:r w:rsidRPr="004517D9">
        <w:rPr>
          <w:rFonts w:ascii="David" w:hAnsi="David" w:cs="David"/>
          <w:bCs/>
          <w:sz w:val="26"/>
          <w:szCs w:val="26"/>
          <w:u w:val="single"/>
          <w:rtl/>
        </w:rPr>
        <w:t>1</w:t>
      </w:r>
      <w:r w:rsidRPr="004517D9">
        <w:rPr>
          <w:rFonts w:ascii="David" w:hAnsi="David" w:cs="David"/>
          <w:bCs/>
          <w:sz w:val="26"/>
          <w:szCs w:val="26"/>
          <w:rtl/>
        </w:rPr>
        <w:t xml:space="preserve">. </w:t>
      </w:r>
      <w:proofErr w:type="spellStart"/>
      <w:r w:rsidR="00270183" w:rsidRPr="004517D9">
        <w:rPr>
          <w:rFonts w:ascii="David" w:hAnsi="David" w:cs="David"/>
          <w:bCs/>
          <w:sz w:val="26"/>
          <w:szCs w:val="26"/>
          <w:rtl/>
        </w:rPr>
        <w:t>הראי"ה</w:t>
      </w:r>
      <w:proofErr w:type="spellEnd"/>
      <w:r w:rsidR="00270183" w:rsidRPr="004517D9">
        <w:rPr>
          <w:rFonts w:ascii="David" w:hAnsi="David" w:cs="David"/>
          <w:bCs/>
          <w:sz w:val="26"/>
          <w:szCs w:val="26"/>
          <w:rtl/>
        </w:rPr>
        <w:t xml:space="preserve"> קוק, 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מוסר אביך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,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 xml:space="preserve"> מדות הראיה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,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 xml:space="preserve"> 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"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גאוה</w:t>
      </w:r>
      <w:r w:rsidR="00270183" w:rsidRPr="004517D9">
        <w:rPr>
          <w:rFonts w:ascii="David" w:hAnsi="David" w:cs="David"/>
          <w:bCs/>
          <w:sz w:val="26"/>
          <w:szCs w:val="26"/>
          <w:rtl/>
        </w:rPr>
        <w:t>"</w:t>
      </w:r>
    </w:p>
    <w:p w14:paraId="7A4CADF0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bCs/>
          <w:sz w:val="26"/>
          <w:szCs w:val="26"/>
          <w:rtl/>
        </w:rPr>
      </w:pPr>
    </w:p>
    <w:p w14:paraId="73B63281" w14:textId="1C43ED9D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ז. הגאוה פוגמת את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הרצון</w:t>
      </w:r>
      <w:r w:rsidRPr="004517D9">
        <w:rPr>
          <w:rFonts w:ascii="David" w:hAnsi="David" w:cs="David"/>
          <w:sz w:val="26"/>
          <w:szCs w:val="26"/>
          <w:rtl/>
        </w:rPr>
        <w:t xml:space="preserve">, וכיון שהרצון פגום אין מקום לכל טוב לנוח. </w:t>
      </w:r>
    </w:p>
    <w:p w14:paraId="2FBC8489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6E355768" w14:textId="0C487C25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ח. הגאוה מסבבת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עצלות</w:t>
      </w:r>
      <w:r w:rsidRPr="004517D9">
        <w:rPr>
          <w:rFonts w:ascii="David" w:hAnsi="David" w:cs="David"/>
          <w:sz w:val="26"/>
          <w:szCs w:val="26"/>
          <w:rtl/>
        </w:rPr>
        <w:t xml:space="preserve">. </w:t>
      </w:r>
    </w:p>
    <w:p w14:paraId="0F67103E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7FE6DDE1" w14:textId="22E97C93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ט. הגאוה היא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הטפשות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היותר פראית.</w:t>
      </w:r>
      <w:r w:rsidR="004517D9">
        <w:rPr>
          <w:rFonts w:ascii="David" w:hAnsi="David" w:cs="David" w:hint="cs"/>
          <w:sz w:val="26"/>
          <w:szCs w:val="26"/>
          <w:rtl/>
        </w:rPr>
        <w:t xml:space="preserve"> [עי' 5]</w:t>
      </w:r>
    </w:p>
    <w:p w14:paraId="56DB0C41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2BD76C54" w14:textId="4AAD7BF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י. הגאוה היא בעצמה עונש נורא. </w:t>
      </w:r>
    </w:p>
    <w:p w14:paraId="0263AAB6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7B476211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טו. מי ששונא את הגאוה באמת, כל מחשבותיו שעולות על לבו הן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דברי תורה</w:t>
      </w:r>
      <w:r w:rsidRPr="004517D9">
        <w:rPr>
          <w:rFonts w:ascii="David" w:hAnsi="David" w:cs="David"/>
          <w:sz w:val="26"/>
          <w:szCs w:val="26"/>
          <w:rtl/>
        </w:rPr>
        <w:t xml:space="preserve">. </w:t>
      </w:r>
    </w:p>
    <w:p w14:paraId="7C8A166A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588AE49B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proofErr w:type="spellStart"/>
      <w:r w:rsidRPr="004517D9">
        <w:rPr>
          <w:rFonts w:ascii="David" w:hAnsi="David" w:cs="David"/>
          <w:sz w:val="26"/>
          <w:szCs w:val="26"/>
          <w:rtl/>
        </w:rPr>
        <w:t>טז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. השונא את הגאוה יזכה לברר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הלכה ברורה</w:t>
      </w:r>
      <w:r w:rsidRPr="004517D9">
        <w:rPr>
          <w:rFonts w:ascii="David" w:hAnsi="David" w:cs="David"/>
          <w:sz w:val="26"/>
          <w:szCs w:val="26"/>
          <w:rtl/>
        </w:rPr>
        <w:t xml:space="preserve">. </w:t>
      </w:r>
    </w:p>
    <w:p w14:paraId="6370F123" w14:textId="77777777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7EDFBBF4" w14:textId="2FCE6C6C" w:rsidR="00270183" w:rsidRPr="004517D9" w:rsidRDefault="00270183" w:rsidP="00AC30B3">
      <w:pPr>
        <w:autoSpaceDE w:val="0"/>
        <w:autoSpaceDN w:val="0"/>
        <w:bidi/>
        <w:adjustRightInd w:val="0"/>
        <w:ind w:left="560"/>
        <w:rPr>
          <w:rFonts w:ascii="David" w:hAnsi="David" w:cs="David"/>
          <w:sz w:val="26"/>
          <w:szCs w:val="26"/>
          <w:rtl/>
        </w:rPr>
      </w:pPr>
      <w:proofErr w:type="spellStart"/>
      <w:r w:rsidRPr="004517D9">
        <w:rPr>
          <w:rFonts w:ascii="David" w:hAnsi="David" w:cs="David"/>
          <w:sz w:val="26"/>
          <w:szCs w:val="26"/>
          <w:rtl/>
        </w:rPr>
        <w:t>יז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. השונא את הגאוה זוכה להתענג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בדבקות בד'</w:t>
      </w:r>
      <w:r w:rsidRPr="004517D9">
        <w:rPr>
          <w:rFonts w:ascii="David" w:hAnsi="David" w:cs="David"/>
          <w:sz w:val="26"/>
          <w:szCs w:val="26"/>
          <w:rtl/>
        </w:rPr>
        <w:t xml:space="preserve">. </w:t>
      </w:r>
    </w:p>
    <w:p w14:paraId="683A8396" w14:textId="77777777" w:rsidR="00270183" w:rsidRPr="004517D9" w:rsidRDefault="00270183" w:rsidP="00270183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6D63F633" w14:textId="66B62341" w:rsidR="00270183" w:rsidRPr="004517D9" w:rsidRDefault="00270183" w:rsidP="00270183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bCs/>
          <w:sz w:val="26"/>
          <w:szCs w:val="26"/>
          <w:rtl/>
        </w:rPr>
        <w:t xml:space="preserve">2. </w:t>
      </w:r>
      <w:r w:rsidRPr="004517D9">
        <w:rPr>
          <w:rFonts w:ascii="David" w:hAnsi="David" w:cs="David"/>
          <w:bCs/>
          <w:sz w:val="26"/>
          <w:szCs w:val="26"/>
          <w:rtl/>
        </w:rPr>
        <w:t>משלי</w:t>
      </w:r>
      <w:r w:rsidRPr="004517D9">
        <w:rPr>
          <w:rFonts w:ascii="David" w:hAnsi="David" w:cs="David"/>
          <w:bCs/>
          <w:sz w:val="26"/>
          <w:szCs w:val="26"/>
          <w:rtl/>
        </w:rPr>
        <w:t>,</w:t>
      </w:r>
      <w:r w:rsidRPr="004517D9">
        <w:rPr>
          <w:rFonts w:ascii="David" w:hAnsi="David" w:cs="David"/>
          <w:bCs/>
          <w:sz w:val="26"/>
          <w:szCs w:val="26"/>
          <w:rtl/>
        </w:rPr>
        <w:t xml:space="preserve"> יד</w:t>
      </w:r>
      <w:r w:rsidRPr="004517D9">
        <w:rPr>
          <w:rFonts w:ascii="David" w:hAnsi="David" w:cs="David"/>
          <w:bCs/>
          <w:sz w:val="26"/>
          <w:szCs w:val="26"/>
          <w:rtl/>
        </w:rPr>
        <w:t>, ג</w:t>
      </w:r>
    </w:p>
    <w:p w14:paraId="456C4CD1" w14:textId="277511EC" w:rsidR="00270183" w:rsidRPr="004517D9" w:rsidRDefault="00270183" w:rsidP="00270183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proofErr w:type="spellStart"/>
      <w:r w:rsidRPr="004517D9">
        <w:rPr>
          <w:rFonts w:ascii="David" w:hAnsi="David" w:cs="David"/>
          <w:sz w:val="26"/>
          <w:szCs w:val="26"/>
          <w:rtl/>
        </w:rPr>
        <w:t>בְּפִי-אֱוִיל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חֹטֶר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גַּאֲוָה וְשִפְתֵי חֲכָמִים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תִּשְׁמוּרֵם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:  </w:t>
      </w:r>
    </w:p>
    <w:p w14:paraId="38D29930" w14:textId="66CBD6F9" w:rsidR="00270183" w:rsidRPr="004517D9" w:rsidRDefault="00270183" w:rsidP="00270183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</w:p>
    <w:p w14:paraId="585E2C33" w14:textId="77777777" w:rsidR="00D83565" w:rsidRPr="004517D9" w:rsidRDefault="00D83565" w:rsidP="00D83565">
      <w:pPr>
        <w:autoSpaceDE w:val="0"/>
        <w:autoSpaceDN w:val="0"/>
        <w:bidi/>
        <w:adjustRightInd w:val="0"/>
        <w:rPr>
          <w:rFonts w:ascii="David" w:hAnsi="David" w:cs="David"/>
          <w:bCs/>
          <w:sz w:val="26"/>
          <w:szCs w:val="26"/>
        </w:rPr>
      </w:pPr>
      <w:r w:rsidRPr="004517D9">
        <w:rPr>
          <w:rFonts w:ascii="David" w:hAnsi="David" w:cs="David"/>
          <w:bCs/>
          <w:sz w:val="26"/>
          <w:szCs w:val="26"/>
          <w:rtl/>
        </w:rPr>
        <w:t xml:space="preserve">3. </w:t>
      </w:r>
      <w:r w:rsidRPr="004517D9">
        <w:rPr>
          <w:rFonts w:ascii="David" w:hAnsi="David" w:cs="David"/>
          <w:bCs/>
          <w:sz w:val="26"/>
          <w:szCs w:val="26"/>
          <w:rtl/>
        </w:rPr>
        <w:t xml:space="preserve">תלמוד בבלי מסכת פסחים דף </w:t>
      </w:r>
      <w:proofErr w:type="spellStart"/>
      <w:r w:rsidRPr="004517D9">
        <w:rPr>
          <w:rFonts w:ascii="David" w:hAnsi="David" w:cs="David"/>
          <w:bCs/>
          <w:sz w:val="26"/>
          <w:szCs w:val="26"/>
          <w:rtl/>
        </w:rPr>
        <w:t>סו</w:t>
      </w:r>
      <w:proofErr w:type="spellEnd"/>
      <w:r w:rsidRPr="004517D9">
        <w:rPr>
          <w:rFonts w:ascii="David" w:hAnsi="David" w:cs="David"/>
          <w:bCs/>
          <w:sz w:val="26"/>
          <w:szCs w:val="26"/>
          <w:rtl/>
        </w:rPr>
        <w:t xml:space="preserve"> עמוד ב</w:t>
      </w:r>
    </w:p>
    <w:p w14:paraId="00D8B9CB" w14:textId="2FD28A54" w:rsidR="00D83565" w:rsidRPr="004517D9" w:rsidRDefault="00D83565" w:rsidP="00D83565">
      <w:pPr>
        <w:autoSpaceDE w:val="0"/>
        <w:autoSpaceDN w:val="0"/>
        <w:bidi/>
        <w:adjustRightInd w:val="0"/>
        <w:rPr>
          <w:rFonts w:ascii="David" w:hAnsi="David" w:cs="David"/>
          <w:b/>
          <w:sz w:val="26"/>
          <w:szCs w:val="26"/>
          <w:rtl/>
        </w:rPr>
      </w:pPr>
      <w:r w:rsidRPr="004517D9">
        <w:rPr>
          <w:rFonts w:ascii="David" w:hAnsi="David" w:cs="David"/>
          <w:b/>
          <w:sz w:val="26"/>
          <w:szCs w:val="26"/>
          <w:rtl/>
        </w:rPr>
        <w:t xml:space="preserve">אמר רב יהודה אמר רב: כל </w:t>
      </w:r>
      <w:proofErr w:type="spellStart"/>
      <w:r w:rsidRPr="004517D9">
        <w:rPr>
          <w:rFonts w:ascii="David" w:hAnsi="David" w:cs="David"/>
          <w:b/>
          <w:sz w:val="26"/>
          <w:szCs w:val="26"/>
          <w:rtl/>
        </w:rPr>
        <w:t>המתיהר</w:t>
      </w:r>
      <w:proofErr w:type="spellEnd"/>
      <w:r w:rsidRPr="004517D9">
        <w:rPr>
          <w:rFonts w:ascii="David" w:hAnsi="David" w:cs="David"/>
          <w:b/>
          <w:sz w:val="26"/>
          <w:szCs w:val="26"/>
          <w:rtl/>
        </w:rPr>
        <w:t xml:space="preserve">, אם חכם הוא - </w:t>
      </w:r>
      <w:proofErr w:type="spellStart"/>
      <w:r w:rsidRPr="004517D9">
        <w:rPr>
          <w:rFonts w:ascii="David" w:hAnsi="David" w:cs="David"/>
          <w:b/>
          <w:sz w:val="26"/>
          <w:szCs w:val="26"/>
          <w:rtl/>
        </w:rPr>
        <w:t>חכמתו</w:t>
      </w:r>
      <w:proofErr w:type="spellEnd"/>
      <w:r w:rsidRPr="004517D9">
        <w:rPr>
          <w:rFonts w:ascii="David" w:hAnsi="David" w:cs="David"/>
          <w:b/>
          <w:sz w:val="26"/>
          <w:szCs w:val="26"/>
          <w:rtl/>
        </w:rPr>
        <w:t xml:space="preserve"> מסתלקת ממנו, אם נביא הוא - נבואתו מסתלקת ממנו.</w:t>
      </w:r>
    </w:p>
    <w:p w14:paraId="0F4940B7" w14:textId="77777777" w:rsidR="00D83565" w:rsidRPr="004517D9" w:rsidRDefault="00D83565" w:rsidP="00D83565">
      <w:pPr>
        <w:autoSpaceDE w:val="0"/>
        <w:autoSpaceDN w:val="0"/>
        <w:bidi/>
        <w:adjustRightInd w:val="0"/>
        <w:rPr>
          <w:rFonts w:ascii="David" w:hAnsi="David" w:cs="David"/>
          <w:bCs/>
          <w:sz w:val="26"/>
          <w:szCs w:val="26"/>
          <w:rtl/>
        </w:rPr>
      </w:pPr>
    </w:p>
    <w:p w14:paraId="7B444664" w14:textId="73EE4731" w:rsidR="00247D78" w:rsidRPr="004517D9" w:rsidRDefault="004517D9" w:rsidP="00D83565">
      <w:pPr>
        <w:autoSpaceDE w:val="0"/>
        <w:autoSpaceDN w:val="0"/>
        <w:bidi/>
        <w:adjustRightInd w:val="0"/>
        <w:rPr>
          <w:rFonts w:ascii="David" w:hAnsi="David" w:cs="David"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 xml:space="preserve">4. </w:t>
      </w:r>
      <w:proofErr w:type="spellStart"/>
      <w:r w:rsidR="00247D78" w:rsidRPr="004517D9">
        <w:rPr>
          <w:rFonts w:ascii="David" w:hAnsi="David" w:cs="David"/>
          <w:bCs/>
          <w:sz w:val="26"/>
          <w:szCs w:val="26"/>
          <w:rtl/>
        </w:rPr>
        <w:t>הראי"ה</w:t>
      </w:r>
      <w:proofErr w:type="spellEnd"/>
      <w:r w:rsidR="00247D78" w:rsidRPr="004517D9">
        <w:rPr>
          <w:rFonts w:ascii="David" w:hAnsi="David" w:cs="David"/>
          <w:bCs/>
          <w:sz w:val="26"/>
          <w:szCs w:val="26"/>
          <w:rtl/>
        </w:rPr>
        <w:t xml:space="preserve"> קוק, אורות הקודש ג, מוסר הקודש, עמ' </w:t>
      </w:r>
      <w:proofErr w:type="spellStart"/>
      <w:r w:rsidR="00247D78" w:rsidRPr="004517D9">
        <w:rPr>
          <w:rFonts w:ascii="David" w:hAnsi="David" w:cs="David"/>
          <w:bCs/>
          <w:sz w:val="26"/>
          <w:szCs w:val="26"/>
          <w:rtl/>
        </w:rPr>
        <w:t>קמז</w:t>
      </w:r>
      <w:proofErr w:type="spellEnd"/>
      <w:r w:rsidR="00247D78" w:rsidRPr="004517D9">
        <w:rPr>
          <w:rFonts w:ascii="David" w:hAnsi="David" w:cs="David"/>
          <w:bCs/>
          <w:sz w:val="26"/>
          <w:szCs w:val="26"/>
          <w:rtl/>
        </w:rPr>
        <w:t xml:space="preserve"> </w:t>
      </w:r>
    </w:p>
    <w:p w14:paraId="054D606B" w14:textId="77777777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bCs/>
          <w:sz w:val="26"/>
          <w:szCs w:val="26"/>
          <w:rtl/>
        </w:rPr>
        <w:t xml:space="preserve">היסוד הכללי - </w:t>
      </w:r>
      <w:proofErr w:type="spellStart"/>
      <w:r w:rsidRPr="004517D9">
        <w:rPr>
          <w:rFonts w:ascii="David" w:hAnsi="David" w:cs="David"/>
          <w:bCs/>
          <w:sz w:val="26"/>
          <w:szCs w:val="26"/>
          <w:rtl/>
        </w:rPr>
        <w:t>קא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</w:t>
      </w:r>
    </w:p>
    <w:p w14:paraId="0478A68B" w14:textId="2ADEDA98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האדם צריך </w:t>
      </w:r>
      <w:proofErr w:type="spellStart"/>
      <w:r w:rsidRPr="004517D9">
        <w:rPr>
          <w:rFonts w:ascii="David" w:hAnsi="David" w:cs="David"/>
          <w:b/>
          <w:bCs/>
          <w:sz w:val="26"/>
          <w:szCs w:val="26"/>
          <w:rtl/>
        </w:rPr>
        <w:t>להחלץ</w:t>
      </w:r>
      <w:proofErr w:type="spellEnd"/>
      <w:r w:rsidRPr="004517D9">
        <w:rPr>
          <w:rFonts w:ascii="David" w:hAnsi="David" w:cs="David"/>
          <w:b/>
          <w:bCs/>
          <w:sz w:val="26"/>
          <w:szCs w:val="26"/>
          <w:rtl/>
        </w:rPr>
        <w:t xml:space="preserve"> תמיד ממסגרותיו הפרטיות</w:t>
      </w:r>
      <w:r w:rsidRPr="004517D9">
        <w:rPr>
          <w:rFonts w:ascii="David" w:hAnsi="David" w:cs="David"/>
          <w:sz w:val="26"/>
          <w:szCs w:val="26"/>
          <w:rtl/>
        </w:rPr>
        <w:t xml:space="preserve">, הממלאות את כל מהותו, עד שכל רעיונותיו סובבים תמיד רק על דבר גורלו הפרטי, שזהו מוריד את האדם לעומק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הקטנות</w:t>
      </w:r>
      <w:r w:rsidRPr="004517D9">
        <w:rPr>
          <w:rFonts w:ascii="David" w:hAnsi="David" w:cs="David"/>
          <w:sz w:val="26"/>
          <w:szCs w:val="26"/>
          <w:rtl/>
        </w:rPr>
        <w:t xml:space="preserve">, ואין קץ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ליסורים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גשמיים ורוחניים, המסו</w:t>
      </w:r>
      <w:r w:rsidR="00D83565" w:rsidRPr="004517D9">
        <w:rPr>
          <w:rFonts w:ascii="David" w:hAnsi="David" w:cs="David"/>
          <w:sz w:val="26"/>
          <w:szCs w:val="26"/>
          <w:rtl/>
        </w:rPr>
        <w:t>ּ</w:t>
      </w:r>
      <w:r w:rsidRPr="004517D9">
        <w:rPr>
          <w:rFonts w:ascii="David" w:hAnsi="David" w:cs="David"/>
          <w:sz w:val="26"/>
          <w:szCs w:val="26"/>
          <w:rtl/>
        </w:rPr>
        <w:t xml:space="preserve">בבים מזה. אבל צריך שתהיה מחשבתו ורצונו, ויסוד רעיונותיו נתונים להכללות, לכללות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הכל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, לכללות העולם, לאדם, לכללות ישראל, לכל היקום. ומזה תתבסס אצלו גם הפרטיות שלו בצורה הראויה. </w:t>
      </w:r>
    </w:p>
    <w:p w14:paraId="2399C26B" w14:textId="77777777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bCs/>
          <w:sz w:val="26"/>
          <w:szCs w:val="26"/>
          <w:rtl/>
        </w:rPr>
      </w:pPr>
    </w:p>
    <w:p w14:paraId="5CC444E2" w14:textId="5F60B65A" w:rsidR="00247D78" w:rsidRPr="004517D9" w:rsidRDefault="004517D9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Cs/>
          <w:sz w:val="26"/>
          <w:szCs w:val="26"/>
          <w:rtl/>
        </w:rPr>
        <w:t>5</w:t>
      </w:r>
      <w:r w:rsidR="00247D78" w:rsidRPr="004517D9">
        <w:rPr>
          <w:rFonts w:ascii="David" w:hAnsi="David" w:cs="David"/>
          <w:bCs/>
          <w:sz w:val="26"/>
          <w:szCs w:val="26"/>
          <w:rtl/>
        </w:rPr>
        <w:t xml:space="preserve">. אורות הקודש ד, עמ' תעו </w:t>
      </w:r>
    </w:p>
    <w:p w14:paraId="70936CE9" w14:textId="77777777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bCs/>
          <w:sz w:val="26"/>
          <w:szCs w:val="26"/>
          <w:rtl/>
        </w:rPr>
        <w:t xml:space="preserve">הענוה והכרת האמת </w:t>
      </w:r>
    </w:p>
    <w:p w14:paraId="62C62C8A" w14:textId="77777777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הענוה מנמיכה את הדעת העליונה של האדם, ומורידה את אורה לעומק עומקה של נשמתו, וע"י זה מכיר הוא את האמת לאמתה. וכפי רוב הענוה האמת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האלהית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מתגלה אליו. </w:t>
      </w:r>
    </w:p>
    <w:p w14:paraId="67A79ABF" w14:textId="77777777" w:rsidR="00247D78" w:rsidRPr="004517D9" w:rsidRDefault="00247D78" w:rsidP="00247D78">
      <w:pPr>
        <w:autoSpaceDE w:val="0"/>
        <w:autoSpaceDN w:val="0"/>
        <w:bidi/>
        <w:adjustRightInd w:val="0"/>
        <w:rPr>
          <w:rFonts w:ascii="David" w:hAnsi="David" w:cs="David"/>
          <w:sz w:val="26"/>
          <w:szCs w:val="26"/>
          <w:rtl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וכל הדעות הרעות, ותולדותיהן, וכל מיני דרכי עבודה זרה, </w:t>
      </w:r>
      <w:proofErr w:type="spellStart"/>
      <w:r w:rsidRPr="004517D9">
        <w:rPr>
          <w:rFonts w:ascii="David" w:hAnsi="David" w:cs="David"/>
          <w:b/>
          <w:bCs/>
          <w:sz w:val="26"/>
          <w:szCs w:val="26"/>
          <w:rtl/>
        </w:rPr>
        <w:t>הכל</w:t>
      </w:r>
      <w:proofErr w:type="spellEnd"/>
      <w:r w:rsidRPr="004517D9">
        <w:rPr>
          <w:rFonts w:ascii="David" w:hAnsi="David" w:cs="David"/>
          <w:b/>
          <w:bCs/>
          <w:sz w:val="26"/>
          <w:szCs w:val="26"/>
          <w:rtl/>
        </w:rPr>
        <w:t xml:space="preserve"> נובעים הם ממקור המשחת של הגאוה</w:t>
      </w:r>
      <w:r w:rsidRPr="004517D9">
        <w:rPr>
          <w:rFonts w:ascii="David" w:hAnsi="David" w:cs="David"/>
          <w:sz w:val="26"/>
          <w:szCs w:val="26"/>
          <w:rtl/>
        </w:rPr>
        <w:t xml:space="preserve">, שהיא מרימה את הלב, ואינה מניחה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להאור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 xml:space="preserve"> של הנשמה לחדור לעומק העצמיות של האדם, ונשאר כולו שקוע באפלה. </w:t>
      </w:r>
    </w:p>
    <w:p w14:paraId="23E891D1" w14:textId="77777777" w:rsidR="00AD096E" w:rsidRPr="004517D9" w:rsidRDefault="00AD096E" w:rsidP="00247D78">
      <w:pPr>
        <w:bidi/>
        <w:rPr>
          <w:rFonts w:ascii="David" w:hAnsi="David" w:cs="David"/>
          <w:sz w:val="26"/>
          <w:szCs w:val="26"/>
          <w:rtl/>
        </w:rPr>
      </w:pPr>
    </w:p>
    <w:p w14:paraId="3DE73C53" w14:textId="25D17D0E" w:rsidR="00D83565" w:rsidRPr="004517D9" w:rsidRDefault="004517D9" w:rsidP="00D83565">
      <w:pPr>
        <w:bidi/>
        <w:rPr>
          <w:rFonts w:ascii="David" w:hAnsi="David" w:cs="David"/>
          <w:b/>
          <w:bCs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6. </w:t>
      </w:r>
      <w:r w:rsidR="00D83565" w:rsidRPr="004517D9">
        <w:rPr>
          <w:rFonts w:ascii="David" w:hAnsi="David" w:cs="David"/>
          <w:b/>
          <w:bCs/>
          <w:sz w:val="26"/>
          <w:szCs w:val="26"/>
          <w:rtl/>
        </w:rPr>
        <w:t>פסיקתא זוטרתא (לקח טוב) רות פרק ד</w:t>
      </w:r>
    </w:p>
    <w:p w14:paraId="29262164" w14:textId="6B0219E3" w:rsidR="00D83565" w:rsidRPr="004517D9" w:rsidRDefault="00D83565" w:rsidP="00D83565">
      <w:pPr>
        <w:bidi/>
        <w:rPr>
          <w:rFonts w:ascii="David" w:hAnsi="David" w:cs="David"/>
          <w:sz w:val="26"/>
          <w:szCs w:val="26"/>
        </w:rPr>
      </w:pPr>
      <w:r w:rsidRPr="004517D9">
        <w:rPr>
          <w:rFonts w:ascii="David" w:hAnsi="David" w:cs="David"/>
          <w:sz w:val="26"/>
          <w:szCs w:val="26"/>
          <w:rtl/>
        </w:rPr>
        <w:t xml:space="preserve">ולמה קורין מגילה זו בחג שבועות, שמגילה זו </w:t>
      </w:r>
      <w:r w:rsidRPr="004517D9">
        <w:rPr>
          <w:rFonts w:ascii="David" w:hAnsi="David" w:cs="David"/>
          <w:b/>
          <w:bCs/>
          <w:sz w:val="26"/>
          <w:szCs w:val="26"/>
          <w:rtl/>
        </w:rPr>
        <w:t>כולה חסד</w:t>
      </w:r>
      <w:r w:rsidRPr="004517D9">
        <w:rPr>
          <w:rFonts w:ascii="David" w:hAnsi="David" w:cs="David"/>
          <w:sz w:val="26"/>
          <w:szCs w:val="26"/>
          <w:rtl/>
        </w:rPr>
        <w:t xml:space="preserve"> והתורה כולה חסד, שנאמר (משלי לא, </w:t>
      </w:r>
      <w:proofErr w:type="spellStart"/>
      <w:r w:rsidRPr="004517D9">
        <w:rPr>
          <w:rFonts w:ascii="David" w:hAnsi="David" w:cs="David"/>
          <w:sz w:val="26"/>
          <w:szCs w:val="26"/>
          <w:rtl/>
        </w:rPr>
        <w:t>כו</w:t>
      </w:r>
      <w:proofErr w:type="spellEnd"/>
      <w:r w:rsidRPr="004517D9">
        <w:rPr>
          <w:rFonts w:ascii="David" w:hAnsi="David" w:cs="David"/>
          <w:sz w:val="26"/>
          <w:szCs w:val="26"/>
          <w:rtl/>
        </w:rPr>
        <w:t>) ותורת חסד על לשונה, וניתנה בחג שבועות.</w:t>
      </w:r>
    </w:p>
    <w:sectPr w:rsidR="00D83565" w:rsidRPr="00451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D78"/>
    <w:rsid w:val="00097C52"/>
    <w:rsid w:val="00247D78"/>
    <w:rsid w:val="00270183"/>
    <w:rsid w:val="002E317D"/>
    <w:rsid w:val="00356C86"/>
    <w:rsid w:val="003B463F"/>
    <w:rsid w:val="004517D9"/>
    <w:rsid w:val="00532739"/>
    <w:rsid w:val="005613E4"/>
    <w:rsid w:val="00604089"/>
    <w:rsid w:val="0064779F"/>
    <w:rsid w:val="00943D3F"/>
    <w:rsid w:val="00950942"/>
    <w:rsid w:val="009A0DC4"/>
    <w:rsid w:val="009F180D"/>
    <w:rsid w:val="00AA4215"/>
    <w:rsid w:val="00AC30B3"/>
    <w:rsid w:val="00AD096E"/>
    <w:rsid w:val="00BF320C"/>
    <w:rsid w:val="00D83565"/>
    <w:rsid w:val="00DC0983"/>
    <w:rsid w:val="00E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7951B"/>
  <w15:chartTrackingRefBased/>
  <w15:docId w15:val="{E0ACC970-6371-4313-B2E9-78BE0D3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D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1370</Characters>
  <Application>Microsoft Office Word</Application>
  <DocSecurity>0</DocSecurity>
  <Lines>28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ענוה- מקורות בראי"ה קוק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ענוה- מקורות בראי"ה קוק</dc:title>
  <dc:subject/>
  <dc:creator>Ari Shvat</dc:creator>
  <cp:keywords/>
  <dc:description/>
  <cp:lastModifiedBy>ארי שבט</cp:lastModifiedBy>
  <cp:revision>4</cp:revision>
  <dcterms:created xsi:type="dcterms:W3CDTF">2023-05-23T13:29:00Z</dcterms:created>
  <dcterms:modified xsi:type="dcterms:W3CDTF">2023-05-23T13:52:00Z</dcterms:modified>
</cp:coreProperties>
</file>