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200" w:lineRule="auto"/>
        <w:ind w:right="0" w:hanging="360"/>
        <w:contextualSpacing w:val="0"/>
        <w:jc w:val="center"/>
      </w:pPr>
      <w:r w:rsidDel="00000000" w:rsidR="00000000" w:rsidRPr="00000000">
        <w:rPr>
          <w:rFonts w:ascii="Quicksand" w:cs="Quicksand" w:eastAsia="Quicksand" w:hAnsi="Quicksand"/>
          <w:b w:val="1"/>
          <w:sz w:val="28"/>
          <w:szCs w:val="28"/>
          <w:u w:val="single"/>
          <w:rtl w:val="0"/>
        </w:rPr>
        <w:t xml:space="preserve">Moshe @Sinai: A Closer Look</w:t>
      </w:r>
    </w:p>
    <w:p w:rsidR="00000000" w:rsidDel="00000000" w:rsidP="00000000" w:rsidRDefault="00000000" w:rsidRPr="00000000">
      <w:pPr>
        <w:numPr>
          <w:ilvl w:val="0"/>
          <w:numId w:val="13"/>
        </w:numPr>
        <w:spacing w:after="0" w:lineRule="auto"/>
        <w:ind w:left="720" w:right="720" w:hanging="360"/>
        <w:contextualSpacing w:val="1"/>
        <w:rPr>
          <w:rFonts w:ascii="Quicksand" w:cs="Quicksand" w:eastAsia="Quicksand" w:hAnsi="Quicksand"/>
          <w:b w:val="1"/>
          <w:sz w:val="24"/>
          <w:szCs w:val="24"/>
          <w:u w:val="none"/>
        </w:rPr>
      </w:pPr>
      <w:r w:rsidDel="00000000" w:rsidR="00000000" w:rsidRPr="00000000">
        <w:rPr>
          <w:rFonts w:ascii="Quicksand" w:cs="Quicksand" w:eastAsia="Quicksand" w:hAnsi="Quicksand"/>
          <w:b w:val="1"/>
          <w:sz w:val="24"/>
          <w:szCs w:val="24"/>
          <w:u w:val="single"/>
          <w:rtl w:val="0"/>
        </w:rPr>
        <w:t xml:space="preserve">Rashi (R. Shlomo b. Yitzchak, France, 1040-1105), Shemot 24</w:t>
      </w:r>
    </w:p>
    <w:p w:rsidR="00000000" w:rsidDel="00000000" w:rsidP="00000000" w:rsidRDefault="00000000" w:rsidRPr="00000000">
      <w:pPr>
        <w:spacing w:after="0" w:lineRule="auto"/>
        <w:ind w:right="0"/>
        <w:contextualSpacing w:val="0"/>
        <w:jc w:val="both"/>
      </w:pPr>
      <w:r w:rsidDel="00000000" w:rsidR="00000000" w:rsidRPr="00000000">
        <w:rPr>
          <w:rFonts w:ascii="Quicksand" w:cs="Quicksand" w:eastAsia="Quicksand" w:hAnsi="Quicksand"/>
          <w:b w:val="1"/>
          <w:sz w:val="24"/>
          <w:szCs w:val="24"/>
          <w:rtl w:val="0"/>
        </w:rPr>
        <w:t xml:space="preserve">the stone tablets, the Law and the commandments, which I have written to instruct them</w:t>
      </w:r>
      <w:r w:rsidDel="00000000" w:rsidR="00000000" w:rsidRPr="00000000">
        <w:rPr>
          <w:rFonts w:ascii="Quicksand" w:cs="Quicksand" w:eastAsia="Quicksand" w:hAnsi="Quicksand"/>
          <w:sz w:val="24"/>
          <w:szCs w:val="24"/>
          <w:rtl w:val="0"/>
        </w:rPr>
        <w:t xml:space="preserve">: All 613 mitzvot are included in the Ten Commandments. In the “Azharot” that he composed for each commandment [of the Ten], Rabbenu Saadiah [Goan] explained the mitzvot dependent upon it [each commandment]. </w:t>
      </w:r>
    </w:p>
    <w:p w:rsidR="00000000" w:rsidDel="00000000" w:rsidP="00000000" w:rsidRDefault="00000000" w:rsidRPr="00000000">
      <w:pPr>
        <w:spacing w:after="0" w:lineRule="auto"/>
        <w:ind w:right="720"/>
        <w:contextualSpacing w:val="0"/>
      </w:pPr>
      <w:r w:rsidDel="00000000" w:rsidR="00000000" w:rsidRPr="00000000">
        <w:rPr>
          <w:rtl w:val="0"/>
        </w:rPr>
      </w:r>
    </w:p>
    <w:p w:rsidR="00000000" w:rsidDel="00000000" w:rsidP="00000000" w:rsidRDefault="00000000" w:rsidRPr="00000000">
      <w:pPr>
        <w:numPr>
          <w:ilvl w:val="0"/>
          <w:numId w:val="13"/>
        </w:numPr>
        <w:spacing w:after="0" w:lineRule="auto"/>
        <w:ind w:left="720" w:right="0" w:hanging="360"/>
        <w:contextualSpacing w:val="1"/>
        <w:rPr>
          <w:rFonts w:ascii="Quicksand" w:cs="Quicksand" w:eastAsia="Quicksand" w:hAnsi="Quicksand"/>
          <w:b w:val="1"/>
          <w:sz w:val="24"/>
          <w:szCs w:val="24"/>
          <w:u w:val="none"/>
        </w:rPr>
      </w:pPr>
      <w:r w:rsidDel="00000000" w:rsidR="00000000" w:rsidRPr="00000000">
        <w:rPr>
          <w:rFonts w:ascii="Quicksand" w:cs="Quicksand" w:eastAsia="Quicksand" w:hAnsi="Quicksand"/>
          <w:b w:val="1"/>
          <w:sz w:val="24"/>
          <w:szCs w:val="24"/>
          <w:u w:val="single"/>
          <w:rtl w:val="0"/>
        </w:rPr>
        <w:t xml:space="preserve">13 Principles of Faith (R. Moses b. Maimon, Egypt, 1135-1204)</w:t>
      </w:r>
    </w:p>
    <w:p w:rsidR="00000000" w:rsidDel="00000000" w:rsidP="00000000" w:rsidRDefault="00000000" w:rsidRPr="00000000">
      <w:pPr>
        <w:bidi w:val="1"/>
        <w:contextualSpacing w:val="0"/>
      </w:pPr>
      <w:r w:rsidDel="00000000" w:rsidR="00000000" w:rsidRPr="00000000">
        <w:rPr>
          <w:rFonts w:ascii="Narkisim" w:cs="Narkisim" w:eastAsia="Narkisim" w:hAnsi="Narkisim"/>
          <w:sz w:val="26"/>
          <w:szCs w:val="26"/>
          <w:rtl w:val="1"/>
        </w:rPr>
        <w:t xml:space="preserve">אני</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מאמין</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באמונה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שלמה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שכל</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התורה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המציוה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עתה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בידינו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היא</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הנתונה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למשה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רבינו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עליו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השלום</w:t>
      </w:r>
      <w:r w:rsidDel="00000000" w:rsidR="00000000" w:rsidRPr="00000000">
        <w:rPr>
          <w:rFonts w:ascii="Narkisim" w:cs="Narkisim" w:eastAsia="Narkisim" w:hAnsi="Narkisim"/>
          <w:sz w:val="26"/>
          <w:szCs w:val="26"/>
          <w:rtl w:val="1"/>
        </w:rPr>
        <w:t xml:space="preserve">.</w:t>
      </w:r>
    </w:p>
    <w:p w:rsidR="00000000" w:rsidDel="00000000" w:rsidP="00000000" w:rsidRDefault="00000000" w:rsidRPr="00000000">
      <w:pPr>
        <w:contextualSpacing w:val="0"/>
      </w:pPr>
      <w:r w:rsidDel="00000000" w:rsidR="00000000" w:rsidRPr="00000000">
        <w:rPr>
          <w:rFonts w:ascii="Quicksand" w:cs="Quicksand" w:eastAsia="Quicksand" w:hAnsi="Quicksand"/>
          <w:sz w:val="24"/>
          <w:szCs w:val="24"/>
          <w:rtl w:val="0"/>
        </w:rPr>
        <w:t xml:space="preserve">I believe with perfect faith that the entire Torah now in our hands is the same one that was given to Moses, our teacher, peace be upon him.</w:t>
      </w:r>
      <w:r w:rsidDel="00000000" w:rsidR="00000000" w:rsidRPr="00000000">
        <w:rPr>
          <w:rFonts w:ascii="Quicksand" w:cs="Quicksand" w:eastAsia="Quicksand" w:hAnsi="Quicksand"/>
          <w:sz w:val="24"/>
          <w:szCs w:val="24"/>
          <w:vertAlign w:val="superscript"/>
        </w:rPr>
        <w:footnoteReference w:customMarkFollows="0" w:id="0"/>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rFonts w:ascii="Quicksand" w:cs="Quicksand" w:eastAsia="Quicksand" w:hAnsi="Quicksand"/>
          <w:sz w:val="24"/>
          <w:szCs w:val="24"/>
          <w:u w:val="none"/>
        </w:rPr>
      </w:pPr>
      <w:r w:rsidDel="00000000" w:rsidR="00000000" w:rsidRPr="00000000">
        <w:rPr>
          <w:rFonts w:ascii="Quicksand" w:cs="Quicksand" w:eastAsia="Quicksand" w:hAnsi="Quicksand"/>
          <w:b w:val="1"/>
          <w:sz w:val="24"/>
          <w:szCs w:val="24"/>
          <w:u w:val="single"/>
          <w:rtl w:val="0"/>
        </w:rPr>
        <w:t xml:space="preserve">Introduction to Chelek (R. Moses b. Maimon, Egypt, 1135-1204)</w:t>
      </w:r>
      <w:r w:rsidDel="00000000" w:rsidR="00000000" w:rsidRPr="00000000">
        <w:rPr>
          <w:rFonts w:ascii="Quicksand" w:cs="Quicksand" w:eastAsia="Quicksand" w:hAnsi="Quicksand"/>
          <w:sz w:val="24"/>
          <w:szCs w:val="24"/>
          <w:u w:val="single"/>
          <w:vertAlign w:val="superscript"/>
        </w:rPr>
        <w:footnoteReference w:customMarkFollows="0" w:id="1"/>
      </w: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Quicksand" w:cs="Quicksand" w:eastAsia="Quicksand" w:hAnsi="Quicksand"/>
          <w:sz w:val="24"/>
          <w:szCs w:val="24"/>
          <w:rtl w:val="0"/>
        </w:rPr>
        <w:t xml:space="preserve">The eighth fundamental principle is that the Torah is from heaven, that we should believe that the entire Torah that we possess today is the Torah that was given to Moses, and that it is of Godly origin in its entirety. [The Torah as a comprehensive whole] was granted [to Moses] by God. The manner in which it was granted to him we call - by analogy - speech.</w:t>
      </w:r>
      <w:r w:rsidDel="00000000" w:rsidR="00000000" w:rsidRPr="00000000">
        <w:rPr>
          <w:rFonts w:ascii="Quicksand" w:cs="Quicksand" w:eastAsia="Quicksand" w:hAnsi="Quicksand"/>
          <w:sz w:val="24"/>
          <w:szCs w:val="24"/>
          <w:vertAlign w:val="superscript"/>
        </w:rPr>
        <w:footnoteReference w:customMarkFollows="0" w:id="2"/>
      </w: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Quicksand" w:cs="Quicksand" w:eastAsia="Quicksand" w:hAnsi="Quicksand"/>
          <w:sz w:val="24"/>
          <w:szCs w:val="24"/>
          <w:rtl w:val="0"/>
        </w:rPr>
        <w:t xml:space="preserve">The only one who knows the nature of this process of communication is Moses, the one to whom it was granted. Nevertheless, metaphorically he can be compared to a scribe taking dictation, writing down all the events that took place, the stories and the mitzvot. For this reason, he is referred to as “the scribe.” </w:t>
      </w:r>
    </w:p>
    <w:p w:rsidR="00000000" w:rsidDel="00000000" w:rsidP="00000000" w:rsidRDefault="00000000" w:rsidRPr="00000000">
      <w:pPr>
        <w:ind w:firstLine="720"/>
        <w:contextualSpacing w:val="0"/>
        <w:jc w:val="both"/>
      </w:pPr>
      <w:r w:rsidDel="00000000" w:rsidR="00000000" w:rsidRPr="00000000">
        <w:rPr>
          <w:rFonts w:ascii="Quicksand" w:cs="Quicksand" w:eastAsia="Quicksand" w:hAnsi="Quicksand"/>
          <w:sz w:val="24"/>
          <w:szCs w:val="24"/>
          <w:rtl w:val="0"/>
        </w:rPr>
        <w:t xml:space="preserve">And thus, there is no difference between the verses: “And the sons of Cham were Kush, Mitzrayim, Put and Canaan,” and “Timna was a concubine,” and “I am God your Lord,” and “Hear Israel, God is our Lord, God is one.” All is from the Almighty; all is His perfect Torah, pure, holy and true… Our Sages state</w:t>
      </w:r>
      <w:r w:rsidDel="00000000" w:rsidR="00000000" w:rsidRPr="00000000">
        <w:rPr>
          <w:rFonts w:ascii="Quicksand" w:cs="Quicksand" w:eastAsia="Quicksand" w:hAnsi="Quicksand"/>
          <w:sz w:val="24"/>
          <w:szCs w:val="24"/>
          <w:vertAlign w:val="superscript"/>
        </w:rPr>
        <w:footnoteReference w:customMarkFollows="0" w:id="3"/>
      </w:r>
      <w:r w:rsidDel="00000000" w:rsidR="00000000" w:rsidRPr="00000000">
        <w:rPr>
          <w:rFonts w:ascii="Quicksand" w:cs="Quicksand" w:eastAsia="Quicksand" w:hAnsi="Quicksand"/>
          <w:sz w:val="24"/>
          <w:szCs w:val="24"/>
          <w:rtl w:val="0"/>
        </w:rPr>
        <w:t xml:space="preserve">: “To anyone who says the entire Torah originated from God, with the exception of a single verse that Moses himself wrote, is applied the verse, ‘He defamed the word of God.’”</w:t>
      </w:r>
      <w:r w:rsidDel="00000000" w:rsidR="00000000" w:rsidRPr="00000000">
        <w:rPr>
          <w:rFonts w:ascii="Quicksand" w:cs="Quicksand" w:eastAsia="Quicksand" w:hAnsi="Quicksand"/>
          <w:sz w:val="24"/>
          <w:szCs w:val="24"/>
          <w:vertAlign w:val="superscript"/>
        </w:rPr>
        <w:footnoteReference w:customMarkFollows="0" w:id="4"/>
      </w:r>
      <w:r w:rsidDel="00000000" w:rsidR="00000000" w:rsidRPr="00000000">
        <w:rPr>
          <w:rFonts w:ascii="Quicksand" w:cs="Quicksand" w:eastAsia="Quicksand" w:hAnsi="Quicksand"/>
          <w:sz w:val="24"/>
          <w:szCs w:val="24"/>
          <w:rtl w:val="0"/>
        </w:rPr>
        <w:t xml:space="preserve"> May God be blessed and uplifted above those who deny Him.</w:t>
      </w:r>
      <w:r w:rsidDel="00000000" w:rsidR="00000000" w:rsidRPr="00000000">
        <w:rPr>
          <w:rFonts w:ascii="Quicksand" w:cs="Quicksand" w:eastAsia="Quicksand" w:hAnsi="Quicksand"/>
          <w:sz w:val="24"/>
          <w:szCs w:val="24"/>
          <w:vertAlign w:val="superscript"/>
        </w:rPr>
        <w:footnoteReference w:customMarkFollows="0" w:id="5"/>
      </w:r>
      <w:r w:rsidDel="00000000" w:rsidR="00000000" w:rsidRPr="00000000">
        <w:rPr>
          <w:rFonts w:ascii="Quicksand" w:cs="Quicksand" w:eastAsia="Quicksand" w:hAnsi="Quicksand"/>
          <w:sz w:val="24"/>
          <w:szCs w:val="24"/>
          <w:rtl w:val="0"/>
        </w:rPr>
        <w:t xml:space="preserve"> ...Similarly, the interpretation of the Torah transmitted by tradition also stems from the Almighty. The manner in which we make a </w:t>
      </w:r>
      <w:r w:rsidDel="00000000" w:rsidR="00000000" w:rsidRPr="00000000">
        <w:rPr>
          <w:rFonts w:ascii="Quicksand" w:cs="Quicksand" w:eastAsia="Quicksand" w:hAnsi="Quicksand"/>
          <w:i w:val="1"/>
          <w:sz w:val="24"/>
          <w:szCs w:val="24"/>
          <w:rtl w:val="0"/>
        </w:rPr>
        <w:t xml:space="preserve">sukkah</w:t>
      </w:r>
      <w:r w:rsidDel="00000000" w:rsidR="00000000" w:rsidRPr="00000000">
        <w:rPr>
          <w:rFonts w:ascii="Quicksand" w:cs="Quicksand" w:eastAsia="Quicksand" w:hAnsi="Quicksand"/>
          <w:sz w:val="24"/>
          <w:szCs w:val="24"/>
          <w:rtl w:val="0"/>
        </w:rPr>
        <w:t xml:space="preserve">, </w:t>
      </w:r>
      <w:r w:rsidDel="00000000" w:rsidR="00000000" w:rsidRPr="00000000">
        <w:rPr>
          <w:rFonts w:ascii="Quicksand" w:cs="Quicksand" w:eastAsia="Quicksand" w:hAnsi="Quicksand"/>
          <w:i w:val="1"/>
          <w:sz w:val="24"/>
          <w:szCs w:val="24"/>
          <w:rtl w:val="0"/>
        </w:rPr>
        <w:t xml:space="preserve">lulav</w:t>
      </w:r>
      <w:r w:rsidDel="00000000" w:rsidR="00000000" w:rsidRPr="00000000">
        <w:rPr>
          <w:rFonts w:ascii="Quicksand" w:cs="Quicksand" w:eastAsia="Quicksand" w:hAnsi="Quicksand"/>
          <w:sz w:val="24"/>
          <w:szCs w:val="24"/>
          <w:rtl w:val="0"/>
        </w:rPr>
        <w:t xml:space="preserve">, </w:t>
      </w:r>
      <w:r w:rsidDel="00000000" w:rsidR="00000000" w:rsidRPr="00000000">
        <w:rPr>
          <w:rFonts w:ascii="Quicksand" w:cs="Quicksand" w:eastAsia="Quicksand" w:hAnsi="Quicksand"/>
          <w:i w:val="1"/>
          <w:sz w:val="24"/>
          <w:szCs w:val="24"/>
          <w:rtl w:val="0"/>
        </w:rPr>
        <w:t xml:space="preserve">shofar</w:t>
      </w:r>
      <w:r w:rsidDel="00000000" w:rsidR="00000000" w:rsidRPr="00000000">
        <w:rPr>
          <w:rFonts w:ascii="Quicksand" w:cs="Quicksand" w:eastAsia="Quicksand" w:hAnsi="Quicksand"/>
          <w:sz w:val="24"/>
          <w:szCs w:val="24"/>
          <w:rtl w:val="0"/>
        </w:rPr>
        <w:t xml:space="preserve">, </w:t>
      </w:r>
      <w:r w:rsidDel="00000000" w:rsidR="00000000" w:rsidRPr="00000000">
        <w:rPr>
          <w:rFonts w:ascii="Quicksand" w:cs="Quicksand" w:eastAsia="Quicksand" w:hAnsi="Quicksand"/>
          <w:i w:val="1"/>
          <w:sz w:val="24"/>
          <w:szCs w:val="24"/>
          <w:rtl w:val="0"/>
        </w:rPr>
        <w:t xml:space="preserve">tzitzit</w:t>
      </w:r>
      <w:r w:rsidDel="00000000" w:rsidR="00000000" w:rsidRPr="00000000">
        <w:rPr>
          <w:rFonts w:ascii="Quicksand" w:cs="Quicksand" w:eastAsia="Quicksand" w:hAnsi="Quicksand"/>
          <w:sz w:val="24"/>
          <w:szCs w:val="24"/>
          <w:rtl w:val="0"/>
        </w:rPr>
        <w:t xml:space="preserve">, </w:t>
      </w:r>
      <w:r w:rsidDel="00000000" w:rsidR="00000000" w:rsidRPr="00000000">
        <w:rPr>
          <w:rFonts w:ascii="Quicksand" w:cs="Quicksand" w:eastAsia="Quicksand" w:hAnsi="Quicksand"/>
          <w:i w:val="1"/>
          <w:sz w:val="24"/>
          <w:szCs w:val="24"/>
          <w:rtl w:val="0"/>
        </w:rPr>
        <w:t xml:space="preserve">tefillin</w:t>
      </w:r>
      <w:r w:rsidDel="00000000" w:rsidR="00000000" w:rsidRPr="00000000">
        <w:rPr>
          <w:rFonts w:ascii="Quicksand" w:cs="Quicksand" w:eastAsia="Quicksand" w:hAnsi="Quicksand"/>
          <w:sz w:val="24"/>
          <w:szCs w:val="24"/>
          <w:rtl w:val="0"/>
        </w:rPr>
        <w:t xml:space="preserve"> and the like is exactly the same as God told Moses, who communicated it to us. He was merely a messenger, carrying out a mission, which he performed faithfully. The verse that reflects this eighth principle is: “With this, you shall see that God sent me; it is not of my own initiative.”</w:t>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numPr>
          <w:ilvl w:val="0"/>
          <w:numId w:val="10"/>
        </w:numPr>
        <w:ind w:left="720" w:hanging="360"/>
        <w:contextualSpacing w:val="1"/>
        <w:jc w:val="both"/>
        <w:rPr>
          <w:rFonts w:ascii="Quicksand" w:cs="Quicksand" w:eastAsia="Quicksand" w:hAnsi="Quicksand"/>
          <w:b w:val="1"/>
          <w:sz w:val="24"/>
          <w:szCs w:val="24"/>
          <w:u w:val="none"/>
        </w:rPr>
      </w:pPr>
      <w:r w:rsidDel="00000000" w:rsidR="00000000" w:rsidRPr="00000000">
        <w:rPr>
          <w:rFonts w:ascii="Quicksand" w:cs="Quicksand" w:eastAsia="Quicksand" w:hAnsi="Quicksand"/>
          <w:b w:val="1"/>
          <w:i w:val="1"/>
          <w:sz w:val="24"/>
          <w:szCs w:val="24"/>
          <w:u w:val="single"/>
          <w:rtl w:val="0"/>
        </w:rPr>
        <w:t xml:space="preserve">Ikkarim</w:t>
      </w:r>
      <w:r w:rsidDel="00000000" w:rsidR="00000000" w:rsidRPr="00000000">
        <w:rPr>
          <w:rFonts w:ascii="Quicksand" w:cs="Quicksand" w:eastAsia="Quicksand" w:hAnsi="Quicksand"/>
          <w:b w:val="1"/>
          <w:sz w:val="24"/>
          <w:szCs w:val="24"/>
          <w:u w:val="single"/>
          <w:rtl w:val="0"/>
        </w:rPr>
        <w:t xml:space="preserve"> (R. Joseph Albo, Spain, 1380-1444), Part 3, Ch. 23</w:t>
      </w:r>
    </w:p>
    <w:p w:rsidR="00000000" w:rsidDel="00000000" w:rsidP="00000000" w:rsidRDefault="00000000" w:rsidRPr="00000000">
      <w:pPr>
        <w:ind w:left="0" w:firstLine="720"/>
        <w:contextualSpacing w:val="0"/>
        <w:jc w:val="both"/>
      </w:pPr>
      <w:r w:rsidDel="00000000" w:rsidR="00000000" w:rsidRPr="00000000">
        <w:rPr>
          <w:rFonts w:ascii="Quicksand" w:cs="Quicksand" w:eastAsia="Quicksand" w:hAnsi="Quicksand"/>
          <w:sz w:val="24"/>
          <w:szCs w:val="24"/>
          <w:rtl w:val="0"/>
        </w:rPr>
        <w:t xml:space="preserve">Perfection means that no enhancement or flaw is imaginable. Since King David described the Torah as being “perfect” (Tehillim 19:8), it must contain no flaw that would prevent it from being absolutely perfect. Now, any written document is liable to various, opposing interpretations, to the extent that one person will espouse a certain argument and another will contradict it… Therefore, in order for God’s Torah to be perfect and understood correctly it is a logical imperative that when God gave Moshe the Written Law He must have explained to him the correct meaning. Moshe must have likewise done so to Yehoshua, and Yehoshua to the elders and the elders to the prophets, and so on through the generations, so that no uncertainty should arise as to the correct meaning of the written text.</w:t>
      </w:r>
    </w:p>
    <w:p w:rsidR="00000000" w:rsidDel="00000000" w:rsidP="00000000" w:rsidRDefault="00000000" w:rsidRPr="00000000">
      <w:pPr>
        <w:ind w:left="0" w:firstLine="720"/>
        <w:contextualSpacing w:val="0"/>
        <w:jc w:val="both"/>
      </w:pPr>
      <w:r w:rsidDel="00000000" w:rsidR="00000000" w:rsidRPr="00000000">
        <w:rPr>
          <w:rFonts w:ascii="Quicksand" w:cs="Quicksand" w:eastAsia="Quicksand" w:hAnsi="Quicksand"/>
          <w:sz w:val="24"/>
          <w:szCs w:val="24"/>
          <w:rtl w:val="0"/>
        </w:rPr>
        <w:t xml:space="preserve">This explanation of the Written Law, which was transmitted from Moshe to Yehoshua, and by Yehoshua to those that followed him, is called the “Oral Law,” because it is impossible to write down this explanation. For any written text would render itself open to variant interpretations, as explained above in reference to the original text, and consequently a further explanation will be required of this “interpretation” and so on </w:t>
      </w:r>
      <w:r w:rsidDel="00000000" w:rsidR="00000000" w:rsidRPr="00000000">
        <w:rPr>
          <w:rFonts w:ascii="Quicksand" w:cs="Quicksand" w:eastAsia="Quicksand" w:hAnsi="Quicksand"/>
          <w:i w:val="1"/>
          <w:sz w:val="24"/>
          <w:szCs w:val="24"/>
          <w:rtl w:val="0"/>
        </w:rPr>
        <w:t xml:space="preserve">ad infinitum</w:t>
      </w:r>
      <w:r w:rsidDel="00000000" w:rsidR="00000000" w:rsidRPr="00000000">
        <w:rPr>
          <w:rFonts w:ascii="Quicksand" w:cs="Quicksand" w:eastAsia="Quicksand" w:hAnsi="Quicksand"/>
          <w:sz w:val="24"/>
          <w:szCs w:val="24"/>
          <w:rtl w:val="0"/>
        </w:rPr>
        <w:t xml:space="preserve">. </w:t>
      </w:r>
    </w:p>
    <w:p w:rsidR="00000000" w:rsidDel="00000000" w:rsidP="00000000" w:rsidRDefault="00000000" w:rsidRPr="00000000">
      <w:pPr>
        <w:ind w:left="0" w:firstLine="720"/>
        <w:contextualSpacing w:val="0"/>
        <w:jc w:val="both"/>
      </w:pPr>
      <w:r w:rsidDel="00000000" w:rsidR="00000000" w:rsidRPr="00000000">
        <w:rPr>
          <w:rFonts w:ascii="Quicksand" w:cs="Quicksand" w:eastAsia="Quicksand" w:hAnsi="Quicksand"/>
          <w:sz w:val="24"/>
          <w:szCs w:val="24"/>
          <w:rtl w:val="0"/>
        </w:rPr>
        <w:t xml:space="preserve">This is precisely what occurred to the text of the Mishnah, which is an explanation of the Written Law. Its meaning became unclear, such a super-commentary was required, which the Talmud, authored by Rav Ashi to clarify the Mishnah. Likewise, the Talmud, which was meant to clarify the Mishnah, itself required a further explanation, and many commentaries were authored offering variant interpretations. These commentaries then engendered further commentary, and so on.</w:t>
      </w:r>
    </w:p>
    <w:p w:rsidR="00000000" w:rsidDel="00000000" w:rsidP="00000000" w:rsidRDefault="00000000" w:rsidRPr="00000000">
      <w:pPr>
        <w:ind w:left="0" w:firstLine="720"/>
        <w:contextualSpacing w:val="0"/>
        <w:jc w:val="both"/>
      </w:pPr>
      <w:r w:rsidDel="00000000" w:rsidR="00000000" w:rsidRPr="00000000">
        <w:rPr>
          <w:rFonts w:ascii="Quicksand" w:cs="Quicksand" w:eastAsia="Quicksand" w:hAnsi="Quicksand"/>
          <w:sz w:val="24"/>
          <w:szCs w:val="24"/>
          <w:rtl w:val="0"/>
        </w:rPr>
        <w:t xml:space="preserve">Thus we have explained that it would be impossible for the Written Law to be perfect unless it were accompanied by an oral interpretation, which is what we refer to as the “Oral Law”.</w:t>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numPr>
          <w:ilvl w:val="0"/>
          <w:numId w:val="4"/>
        </w:numPr>
        <w:ind w:left="720" w:hanging="360"/>
        <w:contextualSpacing w:val="1"/>
        <w:jc w:val="both"/>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u w:val="single"/>
          <w:rtl w:val="0"/>
        </w:rPr>
        <w:t xml:space="preserve">Mishna Avot, Ch. 1:1</w:t>
      </w:r>
    </w:p>
    <w:p w:rsidR="00000000" w:rsidDel="00000000" w:rsidP="00000000" w:rsidRDefault="00000000" w:rsidRPr="00000000">
      <w:pPr>
        <w:bidi w:val="1"/>
        <w:spacing w:after="0" w:lineRule="auto"/>
        <w:ind w:right="720" w:hanging="360"/>
        <w:contextualSpacing w:val="0"/>
      </w:pPr>
      <w:r w:rsidDel="00000000" w:rsidR="00000000" w:rsidRPr="00000000">
        <w:rPr>
          <w:rFonts w:ascii="Narkisim" w:cs="Narkisim" w:eastAsia="Narkisim" w:hAnsi="Narkisim"/>
          <w:sz w:val="26"/>
          <w:szCs w:val="26"/>
          <w:rtl w:val="1"/>
        </w:rPr>
        <w:t xml:space="preserve">משה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קבל</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תורה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מסיני</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b w:val="1"/>
          <w:sz w:val="26"/>
          <w:szCs w:val="26"/>
          <w:rtl w:val="1"/>
        </w:rPr>
        <w:t xml:space="preserve">פירוש</w:t>
      </w:r>
      <w:r w:rsidDel="00000000" w:rsidR="00000000" w:rsidRPr="00000000">
        <w:rPr>
          <w:rFonts w:ascii="Narkisim" w:cs="Narkisim" w:eastAsia="Narkisim" w:hAnsi="Narkisim"/>
          <w:b w:val="1"/>
          <w:sz w:val="26"/>
          <w:szCs w:val="26"/>
          <w:rtl w:val="1"/>
        </w:rPr>
        <w:t xml:space="preserve"> </w:t>
      </w:r>
      <w:r w:rsidDel="00000000" w:rsidR="00000000" w:rsidRPr="00000000">
        <w:rPr>
          <w:rFonts w:ascii="Narkisim" w:cs="Narkisim" w:eastAsia="Narkisim" w:hAnsi="Narkisim"/>
          <w:b w:val="1"/>
          <w:sz w:val="26"/>
          <w:szCs w:val="26"/>
          <w:rtl w:val="1"/>
        </w:rPr>
        <w:t xml:space="preserve">רבינו</w:t>
      </w:r>
      <w:r w:rsidDel="00000000" w:rsidR="00000000" w:rsidRPr="00000000">
        <w:rPr>
          <w:rFonts w:ascii="Narkisim" w:cs="Narkisim" w:eastAsia="Narkisim" w:hAnsi="Narkisim"/>
          <w:b w:val="1"/>
          <w:sz w:val="26"/>
          <w:szCs w:val="26"/>
          <w:rtl w:val="1"/>
        </w:rPr>
        <w:t xml:space="preserve"> </w:t>
      </w:r>
      <w:r w:rsidDel="00000000" w:rsidR="00000000" w:rsidRPr="00000000">
        <w:rPr>
          <w:rFonts w:ascii="Narkisim" w:cs="Narkisim" w:eastAsia="Narkisim" w:hAnsi="Narkisim"/>
          <w:b w:val="1"/>
          <w:sz w:val="26"/>
          <w:szCs w:val="26"/>
          <w:rtl w:val="1"/>
        </w:rPr>
        <w:t xml:space="preserve">יונה</w:t>
      </w:r>
      <w:r w:rsidDel="00000000" w:rsidR="00000000" w:rsidRPr="00000000">
        <w:rPr>
          <w:rtl w:val="0"/>
        </w:rPr>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בין</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תורה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שבכתב</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בין</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תורה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שבע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פ</w:t>
      </w:r>
      <w:r w:rsidDel="00000000" w:rsidR="00000000" w:rsidRPr="00000000">
        <w:rPr>
          <w:rFonts w:ascii="Narkisim" w:cs="Narkisim" w:eastAsia="Narkisim" w:hAnsi="Narkisim"/>
          <w:sz w:val="26"/>
          <w:szCs w:val="26"/>
          <w:rtl w:val="1"/>
        </w:rPr>
        <w:t xml:space="preserve">)</w:t>
      </w:r>
      <w:r w:rsidDel="00000000" w:rsidR="00000000" w:rsidRPr="00000000">
        <w:rPr>
          <w:rtl w:val="0"/>
        </w:rPr>
      </w:r>
    </w:p>
    <w:p w:rsidR="00000000" w:rsidDel="00000000" w:rsidP="00000000" w:rsidRDefault="00000000" w:rsidRPr="00000000">
      <w:pPr>
        <w:numPr>
          <w:ilvl w:val="0"/>
          <w:numId w:val="4"/>
        </w:numPr>
        <w:ind w:left="720" w:hanging="360"/>
        <w:contextualSpacing w:val="1"/>
        <w:jc w:val="both"/>
        <w:rPr>
          <w:rFonts w:ascii="Quicksand" w:cs="Quicksand" w:eastAsia="Quicksand" w:hAnsi="Quicksand"/>
          <w:b w:val="1"/>
          <w:sz w:val="24"/>
          <w:szCs w:val="24"/>
          <w:u w:val="none"/>
        </w:rPr>
      </w:pPr>
      <w:r w:rsidDel="00000000" w:rsidR="00000000" w:rsidRPr="00000000">
        <w:rPr>
          <w:rFonts w:ascii="Quicksand" w:cs="Quicksand" w:eastAsia="Quicksand" w:hAnsi="Quicksand"/>
          <w:b w:val="1"/>
          <w:i w:val="1"/>
          <w:sz w:val="24"/>
          <w:szCs w:val="24"/>
          <w:u w:val="single"/>
          <w:rtl w:val="0"/>
        </w:rPr>
        <w:t xml:space="preserve">Faith</w:t>
      </w:r>
      <w:r w:rsidDel="00000000" w:rsidR="00000000" w:rsidRPr="00000000">
        <w:rPr>
          <w:rFonts w:ascii="Quicksand" w:cs="Quicksand" w:eastAsia="Quicksand" w:hAnsi="Quicksand"/>
          <w:b w:val="1"/>
          <w:sz w:val="24"/>
          <w:szCs w:val="24"/>
          <w:u w:val="single"/>
          <w:rtl w:val="0"/>
        </w:rPr>
        <w:t xml:space="preserve"> (Jacob Newman),  p. 60-61</w:t>
      </w:r>
    </w:p>
    <w:p w:rsidR="00000000" w:rsidDel="00000000" w:rsidP="00000000" w:rsidRDefault="00000000" w:rsidRPr="00000000">
      <w:pPr>
        <w:ind w:left="0" w:firstLine="0"/>
        <w:contextualSpacing w:val="0"/>
        <w:jc w:val="both"/>
      </w:pPr>
      <w:r w:rsidDel="00000000" w:rsidR="00000000" w:rsidRPr="00000000">
        <w:rPr>
          <w:rFonts w:ascii="Quicksand" w:cs="Quicksand" w:eastAsia="Quicksand" w:hAnsi="Quicksand"/>
          <w:sz w:val="24"/>
          <w:szCs w:val="24"/>
          <w:rtl w:val="0"/>
        </w:rPr>
        <w:t xml:space="preserve">The version [of the Torah] in our hands today is identical with that which Moses received… The entire text, in every detail, now in our possession is the one given to Moses at Sinai.’ </w:t>
      </w:r>
    </w:p>
    <w:p w:rsidR="00000000" w:rsidDel="00000000" w:rsidP="00000000" w:rsidRDefault="00000000" w:rsidRPr="00000000">
      <w:pPr>
        <w:numPr>
          <w:ilvl w:val="0"/>
          <w:numId w:val="9"/>
        </w:numPr>
        <w:ind w:left="720" w:hanging="360"/>
        <w:contextualSpacing w:val="1"/>
        <w:jc w:val="both"/>
        <w:rPr>
          <w:rFonts w:ascii="Quicksand" w:cs="Quicksand" w:eastAsia="Quicksand" w:hAnsi="Quicksand"/>
          <w:b w:val="1"/>
          <w:sz w:val="24"/>
          <w:szCs w:val="24"/>
          <w:u w:val="none"/>
        </w:rPr>
      </w:pPr>
      <w:r w:rsidDel="00000000" w:rsidR="00000000" w:rsidRPr="00000000">
        <w:rPr>
          <w:rFonts w:ascii="Quicksand" w:cs="Quicksand" w:eastAsia="Quicksand" w:hAnsi="Quicksand"/>
          <w:b w:val="1"/>
          <w:i w:val="1"/>
          <w:sz w:val="24"/>
          <w:szCs w:val="24"/>
          <w:u w:val="single"/>
          <w:rtl w:val="0"/>
        </w:rPr>
        <w:t xml:space="preserve">Torah</w:t>
      </w:r>
      <w:r w:rsidDel="00000000" w:rsidR="00000000" w:rsidRPr="00000000">
        <w:rPr>
          <w:rFonts w:ascii="Quicksand" w:cs="Quicksand" w:eastAsia="Quicksand" w:hAnsi="Quicksand"/>
          <w:b w:val="1"/>
          <w:sz w:val="24"/>
          <w:szCs w:val="24"/>
          <w:u w:val="single"/>
          <w:rtl w:val="0"/>
        </w:rPr>
        <w:t xml:space="preserve"> (Louis I. Rabinowitz),  p. 39-40</w:t>
      </w:r>
    </w:p>
    <w:p w:rsidR="00000000" w:rsidDel="00000000" w:rsidP="00000000" w:rsidRDefault="00000000" w:rsidRPr="00000000">
      <w:pPr>
        <w:ind w:left="0" w:firstLine="0"/>
        <w:contextualSpacing w:val="0"/>
        <w:jc w:val="both"/>
      </w:pPr>
      <w:r w:rsidDel="00000000" w:rsidR="00000000" w:rsidRPr="00000000">
        <w:rPr>
          <w:rFonts w:ascii="Quicksand" w:cs="Quicksand" w:eastAsia="Quicksand" w:hAnsi="Quicksand"/>
          <w:sz w:val="24"/>
          <w:szCs w:val="24"/>
          <w:rtl w:val="0"/>
        </w:rPr>
        <w:t xml:space="preserve">The Masoretic text is the sole </w:t>
      </w:r>
      <w:r w:rsidDel="00000000" w:rsidR="00000000" w:rsidRPr="00000000">
        <w:rPr>
          <w:rFonts w:ascii="Quicksand" w:cs="Quicksand" w:eastAsia="Quicksand" w:hAnsi="Quicksand"/>
          <w:i w:val="1"/>
          <w:sz w:val="24"/>
          <w:szCs w:val="24"/>
          <w:rtl w:val="0"/>
        </w:rPr>
        <w:t xml:space="preserve">textus receptus</w:t>
      </w:r>
      <w:r w:rsidDel="00000000" w:rsidR="00000000" w:rsidRPr="00000000">
        <w:rPr>
          <w:rFonts w:ascii="Quicksand" w:cs="Quicksand" w:eastAsia="Quicksand" w:hAnsi="Quicksand"/>
          <w:sz w:val="24"/>
          <w:szCs w:val="24"/>
          <w:rtl w:val="0"/>
        </w:rPr>
        <w:t xml:space="preserve"> of the Torah. All other readings represent man-altered variations from that authentic text.</w:t>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numPr>
          <w:ilvl w:val="0"/>
          <w:numId w:val="14"/>
        </w:numPr>
        <w:ind w:left="720" w:hanging="360"/>
        <w:contextualSpacing w:val="1"/>
        <w:jc w:val="both"/>
        <w:rPr>
          <w:rFonts w:ascii="Quicksand" w:cs="Quicksand" w:eastAsia="Quicksand" w:hAnsi="Quicksand"/>
          <w:b w:val="1"/>
          <w:sz w:val="24"/>
          <w:szCs w:val="24"/>
          <w:u w:val="none"/>
        </w:rPr>
      </w:pPr>
      <w:r w:rsidDel="00000000" w:rsidR="00000000" w:rsidRPr="00000000">
        <w:rPr>
          <w:rFonts w:ascii="Quicksand" w:cs="Quicksand" w:eastAsia="Quicksand" w:hAnsi="Quicksand"/>
          <w:b w:val="1"/>
          <w:sz w:val="24"/>
          <w:szCs w:val="24"/>
          <w:u w:val="single"/>
          <w:rtl w:val="0"/>
        </w:rPr>
        <w:t xml:space="preserve">Avraham Kushelevsky, </w:t>
      </w:r>
      <w:r w:rsidDel="00000000" w:rsidR="00000000" w:rsidRPr="00000000">
        <w:rPr>
          <w:rFonts w:ascii="Quicksand" w:cs="Quicksand" w:eastAsia="Quicksand" w:hAnsi="Quicksand"/>
          <w:b w:val="1"/>
          <w:i w:val="1"/>
          <w:sz w:val="24"/>
          <w:szCs w:val="24"/>
          <w:u w:val="single"/>
          <w:rtl w:val="0"/>
        </w:rPr>
        <w:t xml:space="preserve">Meetings</w:t>
      </w: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Fonts w:ascii="Quicksand" w:cs="Quicksand" w:eastAsia="Quicksand" w:hAnsi="Quicksand"/>
          <w:sz w:val="24"/>
          <w:szCs w:val="24"/>
          <w:rtl w:val="0"/>
        </w:rPr>
        <w:t xml:space="preserve">The text of the Torah has been preserved as it was given more than 3,000 years ago, without an addition or deletion of a verse, a single word, or even a single letter.</w:t>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numPr>
          <w:ilvl w:val="0"/>
          <w:numId w:val="3"/>
        </w:numPr>
        <w:ind w:left="720" w:hanging="360"/>
        <w:contextualSpacing w:val="1"/>
        <w:jc w:val="both"/>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u w:val="single"/>
          <w:rtl w:val="0"/>
        </w:rPr>
        <w:t xml:space="preserve">Talmud Yerushalmi, Sukkah Ch. 4:3</w:t>
      </w:r>
    </w:p>
    <w:p w:rsidR="00000000" w:rsidDel="00000000" w:rsidP="00000000" w:rsidRDefault="00000000" w:rsidRPr="00000000">
      <w:pPr>
        <w:bidi w:val="1"/>
        <w:contextualSpacing w:val="0"/>
      </w:pPr>
      <w:r w:rsidDel="00000000" w:rsidR="00000000" w:rsidRPr="00000000">
        <w:rPr>
          <w:rFonts w:ascii="Narkisim" w:cs="Narkisim" w:eastAsia="Narkisim" w:hAnsi="Narkisim"/>
          <w:sz w:val="26"/>
          <w:szCs w:val="26"/>
          <w:rtl w:val="1"/>
        </w:rPr>
        <w:t xml:space="preserve">חנניה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בן</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אחי</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יהושע</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אומר</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שמות</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כ</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אנכי</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אלקיך</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אשר</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הוצאתך</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מארץ</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מצרים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הוצאתיך</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כתיב</w:t>
      </w:r>
      <w:r w:rsidDel="00000000" w:rsidR="00000000" w:rsidRPr="00000000">
        <w:rPr>
          <w:rFonts w:ascii="Narkisim" w:cs="Narkisim" w:eastAsia="Narkisim" w:hAnsi="Narkisim"/>
          <w:sz w:val="26"/>
          <w:szCs w:val="26"/>
          <w:rtl w:val="1"/>
        </w:rPr>
        <w:t xml:space="preserve">.</w:t>
      </w:r>
    </w:p>
    <w:p w:rsidR="00000000" w:rsidDel="00000000" w:rsidP="00000000" w:rsidRDefault="00000000" w:rsidRPr="00000000">
      <w:pPr>
        <w:bidi w:val="1"/>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jc w:val="both"/>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u w:val="single"/>
          <w:rtl w:val="0"/>
        </w:rPr>
        <w:t xml:space="preserve">Beit HaBechira (R. Menachem Meiri, 14th c.), Kiddushin 30a</w:t>
      </w:r>
    </w:p>
    <w:p w:rsidR="00000000" w:rsidDel="00000000" w:rsidP="00000000" w:rsidRDefault="00000000" w:rsidRPr="00000000">
      <w:pPr>
        <w:bidi w:val="1"/>
        <w:contextualSpacing w:val="0"/>
        <w:jc w:val="both"/>
      </w:pPr>
      <w:r w:rsidDel="00000000" w:rsidR="00000000" w:rsidRPr="00000000">
        <w:rPr>
          <w:rFonts w:ascii="Narkisim" w:cs="Narkisim" w:eastAsia="Narkisim" w:hAnsi="Narkisim"/>
          <w:sz w:val="26"/>
          <w:szCs w:val="26"/>
          <w:rtl w:val="1"/>
        </w:rPr>
        <w:t xml:space="preserve">שאחר</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כן</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נתחדשו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ספקות</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בדבר</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ולא</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ידענו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דגחון</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אי</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מהאי</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גיסא</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אי</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מהאי</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גיסא</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ואין</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לומר</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ניתי</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ספר</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תורה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דאנהו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בקיאי</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בחסרות</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ויתרות</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אנן</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לא</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בקיאינן</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וזה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שאנו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מוצאין</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תקונים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ביד</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הסופרים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שעל</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פיהם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אנו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סומכין</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בכתיבת</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ספר</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תורה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אינם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אלא</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כפי</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מה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שמצאו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בספרים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המוחזקים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במדויקים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לא</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שיהא</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הדבר</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ברור</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כל</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כך</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ומתוך</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כך</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אני</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חוכך</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להקל</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בענין</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זה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שלא</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לפסול</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ספר</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תורה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בכך</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שלא</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נאמר</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כן</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אלא</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למה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שבקיאים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b w:val="1"/>
          <w:sz w:val="26"/>
          <w:szCs w:val="26"/>
          <w:rtl w:val="1"/>
        </w:rPr>
        <w:t xml:space="preserve">ואף</w:t>
      </w:r>
      <w:r w:rsidDel="00000000" w:rsidR="00000000" w:rsidRPr="00000000">
        <w:rPr>
          <w:rFonts w:ascii="Narkisim" w:cs="Narkisim" w:eastAsia="Narkisim" w:hAnsi="Narkisim"/>
          <w:b w:val="1"/>
          <w:sz w:val="26"/>
          <w:szCs w:val="26"/>
          <w:rtl w:val="1"/>
        </w:rPr>
        <w:t xml:space="preserve"> </w:t>
      </w:r>
      <w:r w:rsidDel="00000000" w:rsidR="00000000" w:rsidRPr="00000000">
        <w:rPr>
          <w:rFonts w:ascii="Narkisim" w:cs="Narkisim" w:eastAsia="Narkisim" w:hAnsi="Narkisim"/>
          <w:b w:val="1"/>
          <w:sz w:val="26"/>
          <w:szCs w:val="26"/>
          <w:rtl w:val="1"/>
        </w:rPr>
        <w:t xml:space="preserve">ספרי</w:t>
      </w:r>
      <w:r w:rsidDel="00000000" w:rsidR="00000000" w:rsidRPr="00000000">
        <w:rPr>
          <w:rFonts w:ascii="Narkisim" w:cs="Narkisim" w:eastAsia="Narkisim" w:hAnsi="Narkisim"/>
          <w:b w:val="1"/>
          <w:sz w:val="26"/>
          <w:szCs w:val="26"/>
          <w:rtl w:val="1"/>
        </w:rPr>
        <w:t xml:space="preserve"> </w:t>
      </w:r>
      <w:r w:rsidDel="00000000" w:rsidR="00000000" w:rsidRPr="00000000">
        <w:rPr>
          <w:rFonts w:ascii="Narkisim" w:cs="Narkisim" w:eastAsia="Narkisim" w:hAnsi="Narkisim"/>
          <w:b w:val="1"/>
          <w:sz w:val="26"/>
          <w:szCs w:val="26"/>
          <w:rtl w:val="1"/>
        </w:rPr>
        <w:t xml:space="preserve">המסרות</w:t>
      </w:r>
      <w:r w:rsidDel="00000000" w:rsidR="00000000" w:rsidRPr="00000000">
        <w:rPr>
          <w:rtl w:val="0"/>
        </w:rPr>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אין</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לסמוך</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עליהם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כל</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כך</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ואף</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לא</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המדרשות</w:t>
      </w:r>
      <w:r w:rsidDel="00000000" w:rsidR="00000000" w:rsidRPr="00000000">
        <w:rPr>
          <w:rtl w:val="0"/>
        </w:rPr>
      </w:r>
    </w:p>
    <w:p w:rsidR="00000000" w:rsidDel="00000000" w:rsidP="00000000" w:rsidRDefault="00000000" w:rsidRPr="00000000">
      <w:pPr>
        <w:numPr>
          <w:ilvl w:val="0"/>
          <w:numId w:val="3"/>
        </w:numPr>
        <w:ind w:left="720" w:hanging="360"/>
        <w:contextualSpacing w:val="1"/>
        <w:jc w:val="both"/>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u w:val="single"/>
          <w:rtl w:val="0"/>
        </w:rPr>
        <w:t xml:space="preserve">Marc Shapiro, </w:t>
      </w:r>
      <w:r w:rsidDel="00000000" w:rsidR="00000000" w:rsidRPr="00000000">
        <w:rPr>
          <w:rFonts w:ascii="Quicksand" w:cs="Quicksand" w:eastAsia="Quicksand" w:hAnsi="Quicksand"/>
          <w:b w:val="1"/>
          <w:i w:val="1"/>
          <w:sz w:val="24"/>
          <w:szCs w:val="24"/>
          <w:u w:val="single"/>
          <w:rtl w:val="0"/>
        </w:rPr>
        <w:t xml:space="preserve">The Limits of Orthodox Theology</w:t>
      </w:r>
      <w:r w:rsidDel="00000000" w:rsidR="00000000" w:rsidRPr="00000000">
        <w:rPr>
          <w:rFonts w:ascii="Quicksand" w:cs="Quicksand" w:eastAsia="Quicksand" w:hAnsi="Quicksand"/>
          <w:b w:val="1"/>
          <w:sz w:val="24"/>
          <w:szCs w:val="24"/>
          <w:u w:val="single"/>
          <w:rtl w:val="0"/>
        </w:rPr>
        <w:t xml:space="preserve">, pgs. 94, 96, 102</w:t>
      </w:r>
    </w:p>
    <w:p w:rsidR="00000000" w:rsidDel="00000000" w:rsidP="00000000" w:rsidRDefault="00000000" w:rsidRPr="00000000">
      <w:pPr>
        <w:ind w:firstLine="720"/>
        <w:contextualSpacing w:val="0"/>
        <w:jc w:val="both"/>
      </w:pPr>
      <w:r w:rsidDel="00000000" w:rsidR="00000000" w:rsidRPr="00000000">
        <w:rPr>
          <w:rFonts w:ascii="Quicksand" w:cs="Quicksand" w:eastAsia="Quicksand" w:hAnsi="Quicksand"/>
          <w:sz w:val="24"/>
          <w:szCs w:val="24"/>
          <w:rtl w:val="0"/>
        </w:rPr>
        <w:t xml:space="preserve">In a famous responsum, R. Solomon b. Aderet (Rashba, c. 1235-1310) discussed when Torah scrolls should be corrected in accordance with the Talmud’s pentateuchal text (in footnote- Rashba contended that, when the Talmud dervied </w:t>
      </w:r>
      <w:r w:rsidDel="00000000" w:rsidR="00000000" w:rsidRPr="00000000">
        <w:rPr>
          <w:rFonts w:ascii="Quicksand" w:cs="Quicksand" w:eastAsia="Quicksand" w:hAnsi="Quicksand"/>
          <w:i w:val="1"/>
          <w:sz w:val="24"/>
          <w:szCs w:val="24"/>
          <w:rtl w:val="0"/>
        </w:rPr>
        <w:t xml:space="preserve">halakhot</w:t>
      </w:r>
      <w:r w:rsidDel="00000000" w:rsidR="00000000" w:rsidRPr="00000000">
        <w:rPr>
          <w:rFonts w:ascii="Quicksand" w:cs="Quicksand" w:eastAsia="Quicksand" w:hAnsi="Quicksand"/>
          <w:sz w:val="24"/>
          <w:szCs w:val="24"/>
          <w:rtl w:val="0"/>
        </w:rPr>
        <w:t xml:space="preserve"> from words, these words should then appear in our Torah scrolls as they do in the Talmud) </w:t>
      </w:r>
    </w:p>
    <w:p w:rsidR="00000000" w:rsidDel="00000000" w:rsidP="00000000" w:rsidRDefault="00000000" w:rsidRPr="00000000">
      <w:pPr>
        <w:ind w:firstLine="720"/>
        <w:contextualSpacing w:val="0"/>
        <w:jc w:val="both"/>
      </w:pPr>
      <w:r w:rsidDel="00000000" w:rsidR="00000000" w:rsidRPr="00000000">
        <w:rPr>
          <w:rFonts w:ascii="Quicksand" w:cs="Quicksand" w:eastAsia="Quicksand" w:hAnsi="Quicksand"/>
          <w:sz w:val="24"/>
          <w:szCs w:val="24"/>
          <w:rtl w:val="0"/>
        </w:rPr>
        <w:t xml:space="preserve">...Indeed, that there were differences in pentateuchal texts in Temple days is indisputable. It was because of this that R. Akiva and R. Ami emphasized the importance of using a corrected text.</w:t>
      </w:r>
      <w:r w:rsidDel="00000000" w:rsidR="00000000" w:rsidRPr="00000000">
        <w:rPr>
          <w:rFonts w:ascii="Quicksand" w:cs="Quicksand" w:eastAsia="Quicksand" w:hAnsi="Quicksand"/>
          <w:sz w:val="24"/>
          <w:szCs w:val="24"/>
          <w:vertAlign w:val="superscript"/>
        </w:rPr>
        <w:footnoteReference w:customMarkFollows="0" w:id="6"/>
      </w:r>
      <w:r w:rsidDel="00000000" w:rsidR="00000000" w:rsidRPr="00000000">
        <w:rPr>
          <w:rFonts w:ascii="Quicksand" w:cs="Quicksand" w:eastAsia="Quicksand" w:hAnsi="Quicksand"/>
          <w:sz w:val="24"/>
          <w:szCs w:val="24"/>
          <w:rtl w:val="0"/>
        </w:rPr>
        <w:t xml:space="preserve"> According to a number of midrashic sources, R. Meir himself had a Torah text that differed from that of his colleagues.</w:t>
      </w:r>
      <w:r w:rsidDel="00000000" w:rsidR="00000000" w:rsidRPr="00000000">
        <w:rPr>
          <w:rFonts w:ascii="Quicksand" w:cs="Quicksand" w:eastAsia="Quicksand" w:hAnsi="Quicksand"/>
          <w:sz w:val="24"/>
          <w:szCs w:val="24"/>
          <w:vertAlign w:val="superscript"/>
        </w:rPr>
        <w:footnoteReference w:customMarkFollows="0" w:id="7"/>
      </w:r>
      <w:r w:rsidDel="00000000" w:rsidR="00000000" w:rsidRPr="00000000">
        <w:rPr>
          <w:rtl w:val="0"/>
        </w:rPr>
      </w:r>
      <w:r w:rsidDel="00000000" w:rsidR="00000000" w:rsidRPr="00000000">
        <w:rPr>
          <w:rFonts w:ascii="Quicksand" w:cs="Quicksand" w:eastAsia="Quicksand" w:hAnsi="Quicksand"/>
          <w:sz w:val="24"/>
          <w:szCs w:val="24"/>
          <w:rtl w:val="0"/>
        </w:rPr>
        <w:t xml:space="preserve"> </w:t>
      </w:r>
      <w:r w:rsidDel="00000000" w:rsidR="00000000" w:rsidRPr="00000000">
        <w:rPr>
          <w:rFonts w:ascii="Quicksand" w:cs="Quicksand" w:eastAsia="Quicksand" w:hAnsi="Quicksand"/>
          <w:sz w:val="24"/>
          <w:szCs w:val="24"/>
          <w:rtl w:val="0"/>
        </w:rPr>
        <w:t xml:space="preserve">For</w:t>
      </w:r>
      <w:r w:rsidDel="00000000" w:rsidR="00000000" w:rsidRPr="00000000">
        <w:rPr>
          <w:rFonts w:ascii="Quicksand" w:cs="Quicksand" w:eastAsia="Quicksand" w:hAnsi="Quicksand"/>
          <w:sz w:val="24"/>
          <w:szCs w:val="24"/>
          <w:rtl w:val="0"/>
        </w:rPr>
        <w:t xml:space="preserve"> </w:t>
      </w:r>
      <w:r w:rsidDel="00000000" w:rsidR="00000000" w:rsidRPr="00000000">
        <w:rPr>
          <w:rFonts w:ascii="Quicksand" w:cs="Quicksand" w:eastAsia="Quicksand" w:hAnsi="Quicksand"/>
          <w:sz w:val="24"/>
          <w:szCs w:val="24"/>
          <w:rtl w:val="0"/>
        </w:rPr>
        <w:t xml:space="preserve">example</w:t>
      </w:r>
      <w:r w:rsidDel="00000000" w:rsidR="00000000" w:rsidRPr="00000000">
        <w:rPr>
          <w:rFonts w:ascii="Quicksand" w:cs="Quicksand" w:eastAsia="Quicksand" w:hAnsi="Quicksand"/>
          <w:sz w:val="24"/>
          <w:szCs w:val="24"/>
          <w:rtl w:val="0"/>
        </w:rPr>
        <w:t xml:space="preserve">, </w:t>
      </w:r>
      <w:r w:rsidDel="00000000" w:rsidR="00000000" w:rsidRPr="00000000">
        <w:rPr>
          <w:rFonts w:ascii="Quicksand" w:cs="Quicksand" w:eastAsia="Quicksand" w:hAnsi="Quicksand"/>
          <w:sz w:val="24"/>
          <w:szCs w:val="24"/>
          <w:rtl w:val="0"/>
        </w:rPr>
        <w:t xml:space="preserve">while</w:t>
      </w:r>
      <w:r w:rsidDel="00000000" w:rsidR="00000000" w:rsidRPr="00000000">
        <w:rPr>
          <w:rFonts w:ascii="Quicksand" w:cs="Quicksand" w:eastAsia="Quicksand" w:hAnsi="Quicksand"/>
          <w:sz w:val="24"/>
          <w:szCs w:val="24"/>
          <w:rtl w:val="0"/>
        </w:rPr>
        <w:t xml:space="preserve"> </w:t>
      </w:r>
      <w:r w:rsidDel="00000000" w:rsidR="00000000" w:rsidRPr="00000000">
        <w:rPr>
          <w:rFonts w:ascii="Quicksand" w:cs="Quicksand" w:eastAsia="Quicksand" w:hAnsi="Quicksand"/>
          <w:sz w:val="24"/>
          <w:szCs w:val="24"/>
          <w:rtl w:val="0"/>
        </w:rPr>
        <w:t xml:space="preserve">the</w:t>
      </w:r>
      <w:r w:rsidDel="00000000" w:rsidR="00000000" w:rsidRPr="00000000">
        <w:rPr>
          <w:rFonts w:ascii="Quicksand" w:cs="Quicksand" w:eastAsia="Quicksand" w:hAnsi="Quicksand"/>
          <w:sz w:val="24"/>
          <w:szCs w:val="24"/>
          <w:rtl w:val="0"/>
        </w:rPr>
        <w:t xml:space="preserve"> </w:t>
      </w:r>
      <w:r w:rsidDel="00000000" w:rsidR="00000000" w:rsidRPr="00000000">
        <w:rPr>
          <w:rFonts w:ascii="Quicksand" w:cs="Quicksand" w:eastAsia="Quicksand" w:hAnsi="Quicksand"/>
          <w:sz w:val="24"/>
          <w:szCs w:val="24"/>
          <w:rtl w:val="0"/>
        </w:rPr>
        <w:t xml:space="preserve">standard</w:t>
      </w:r>
      <w:r w:rsidDel="00000000" w:rsidR="00000000" w:rsidRPr="00000000">
        <w:rPr>
          <w:rFonts w:ascii="Quicksand" w:cs="Quicksand" w:eastAsia="Quicksand" w:hAnsi="Quicksand"/>
          <w:sz w:val="24"/>
          <w:szCs w:val="24"/>
          <w:rtl w:val="0"/>
        </w:rPr>
        <w:t xml:space="preserve"> </w:t>
      </w:r>
      <w:r w:rsidDel="00000000" w:rsidR="00000000" w:rsidRPr="00000000">
        <w:rPr>
          <w:rFonts w:ascii="Quicksand" w:cs="Quicksand" w:eastAsia="Quicksand" w:hAnsi="Quicksand"/>
          <w:sz w:val="24"/>
          <w:szCs w:val="24"/>
          <w:rtl w:val="0"/>
        </w:rPr>
        <w:t xml:space="preserve">version</w:t>
      </w:r>
      <w:r w:rsidDel="00000000" w:rsidR="00000000" w:rsidRPr="00000000">
        <w:rPr>
          <w:rFonts w:ascii="Quicksand" w:cs="Quicksand" w:eastAsia="Quicksand" w:hAnsi="Quicksand"/>
          <w:sz w:val="24"/>
          <w:szCs w:val="24"/>
          <w:rtl w:val="0"/>
        </w:rPr>
        <w:t xml:space="preserve"> </w:t>
      </w:r>
      <w:r w:rsidDel="00000000" w:rsidR="00000000" w:rsidRPr="00000000">
        <w:rPr>
          <w:rFonts w:ascii="Quicksand" w:cs="Quicksand" w:eastAsia="Quicksand" w:hAnsi="Quicksand"/>
          <w:sz w:val="24"/>
          <w:szCs w:val="24"/>
          <w:rtl w:val="0"/>
        </w:rPr>
        <w:t xml:space="preserve">of</w:t>
      </w:r>
      <w:r w:rsidDel="00000000" w:rsidR="00000000" w:rsidRPr="00000000">
        <w:rPr>
          <w:rFonts w:ascii="Quicksand" w:cs="Quicksand" w:eastAsia="Quicksand" w:hAnsi="Quicksand"/>
          <w:sz w:val="24"/>
          <w:szCs w:val="24"/>
          <w:rtl w:val="0"/>
        </w:rPr>
        <w:t xml:space="preserve"> </w:t>
      </w:r>
      <w:r w:rsidDel="00000000" w:rsidR="00000000" w:rsidRPr="00000000">
        <w:rPr>
          <w:rFonts w:ascii="Quicksand" w:cs="Quicksand" w:eastAsia="Quicksand" w:hAnsi="Quicksand"/>
          <w:sz w:val="24"/>
          <w:szCs w:val="24"/>
          <w:rtl w:val="0"/>
        </w:rPr>
        <w:t xml:space="preserve">Genesis</w:t>
      </w:r>
      <w:r w:rsidDel="00000000" w:rsidR="00000000" w:rsidRPr="00000000">
        <w:rPr>
          <w:rFonts w:ascii="Quicksand" w:cs="Quicksand" w:eastAsia="Quicksand" w:hAnsi="Quicksand"/>
          <w:sz w:val="24"/>
          <w:szCs w:val="24"/>
          <w:rtl w:val="0"/>
        </w:rPr>
        <w:t xml:space="preserve"> 1:31 </w:t>
      </w:r>
      <w:r w:rsidDel="00000000" w:rsidR="00000000" w:rsidRPr="00000000">
        <w:rPr>
          <w:rFonts w:ascii="Quicksand" w:cs="Quicksand" w:eastAsia="Quicksand" w:hAnsi="Quicksand"/>
          <w:sz w:val="24"/>
          <w:szCs w:val="24"/>
          <w:rtl w:val="0"/>
        </w:rPr>
        <w:t xml:space="preserve">reads</w:t>
      </w:r>
      <w:r w:rsidDel="00000000" w:rsidR="00000000" w:rsidRPr="00000000">
        <w:rPr>
          <w:rFonts w:ascii="Quicksand" w:cs="Quicksand" w:eastAsia="Quicksand" w:hAnsi="Quicksand"/>
          <w:sz w:val="24"/>
          <w:szCs w:val="24"/>
          <w:rtl w:val="0"/>
        </w:rPr>
        <w:t xml:space="preserve">: ‘</w:t>
      </w:r>
      <w:r w:rsidDel="00000000" w:rsidR="00000000" w:rsidRPr="00000000">
        <w:rPr>
          <w:rFonts w:ascii="Quicksand" w:cs="Quicksand" w:eastAsia="Quicksand" w:hAnsi="Quicksand"/>
          <w:sz w:val="24"/>
          <w:szCs w:val="24"/>
          <w:rtl w:val="0"/>
        </w:rPr>
        <w:t xml:space="preserve">And</w:t>
      </w:r>
      <w:r w:rsidDel="00000000" w:rsidR="00000000" w:rsidRPr="00000000">
        <w:rPr>
          <w:rFonts w:ascii="Quicksand" w:cs="Quicksand" w:eastAsia="Quicksand" w:hAnsi="Quicksand"/>
          <w:sz w:val="24"/>
          <w:szCs w:val="24"/>
          <w:rtl w:val="0"/>
        </w:rPr>
        <w:t xml:space="preserve"> </w:t>
      </w:r>
      <w:r w:rsidDel="00000000" w:rsidR="00000000" w:rsidRPr="00000000">
        <w:rPr>
          <w:rFonts w:ascii="Quicksand" w:cs="Quicksand" w:eastAsia="Quicksand" w:hAnsi="Quicksand"/>
          <w:sz w:val="24"/>
          <w:szCs w:val="24"/>
          <w:rtl w:val="0"/>
        </w:rPr>
        <w:t xml:space="preserve">God</w:t>
      </w:r>
      <w:r w:rsidDel="00000000" w:rsidR="00000000" w:rsidRPr="00000000">
        <w:rPr>
          <w:rFonts w:ascii="Quicksand" w:cs="Quicksand" w:eastAsia="Quicksand" w:hAnsi="Quicksand"/>
          <w:sz w:val="24"/>
          <w:szCs w:val="24"/>
          <w:rtl w:val="0"/>
        </w:rPr>
        <w:t xml:space="preserve"> </w:t>
      </w:r>
      <w:r w:rsidDel="00000000" w:rsidR="00000000" w:rsidRPr="00000000">
        <w:rPr>
          <w:rFonts w:ascii="Quicksand" w:cs="Quicksand" w:eastAsia="Quicksand" w:hAnsi="Quicksand"/>
          <w:sz w:val="24"/>
          <w:szCs w:val="24"/>
          <w:rtl w:val="0"/>
        </w:rPr>
        <w:t xml:space="preserve">saw</w:t>
      </w:r>
      <w:r w:rsidDel="00000000" w:rsidR="00000000" w:rsidRPr="00000000">
        <w:rPr>
          <w:rFonts w:ascii="Quicksand" w:cs="Quicksand" w:eastAsia="Quicksand" w:hAnsi="Quicksand"/>
          <w:sz w:val="24"/>
          <w:szCs w:val="24"/>
          <w:rtl w:val="0"/>
        </w:rPr>
        <w:t xml:space="preserve"> </w:t>
      </w:r>
      <w:r w:rsidDel="00000000" w:rsidR="00000000" w:rsidRPr="00000000">
        <w:rPr>
          <w:rFonts w:ascii="Quicksand" w:cs="Quicksand" w:eastAsia="Quicksand" w:hAnsi="Quicksand"/>
          <w:sz w:val="24"/>
          <w:szCs w:val="24"/>
          <w:rtl w:val="0"/>
        </w:rPr>
        <w:t xml:space="preserve">every</w:t>
      </w:r>
      <w:r w:rsidDel="00000000" w:rsidR="00000000" w:rsidRPr="00000000">
        <w:rPr>
          <w:rFonts w:ascii="Quicksand" w:cs="Quicksand" w:eastAsia="Quicksand" w:hAnsi="Quicksand"/>
          <w:sz w:val="24"/>
          <w:szCs w:val="24"/>
          <w:rtl w:val="0"/>
        </w:rPr>
        <w:t xml:space="preserve"> </w:t>
      </w:r>
      <w:r w:rsidDel="00000000" w:rsidR="00000000" w:rsidRPr="00000000">
        <w:rPr>
          <w:rFonts w:ascii="Quicksand" w:cs="Quicksand" w:eastAsia="Quicksand" w:hAnsi="Quicksand"/>
          <w:sz w:val="24"/>
          <w:szCs w:val="24"/>
          <w:rtl w:val="0"/>
        </w:rPr>
        <w:t xml:space="preserve">thing</w:t>
      </w:r>
      <w:r w:rsidDel="00000000" w:rsidR="00000000" w:rsidRPr="00000000">
        <w:rPr>
          <w:rFonts w:ascii="Quicksand" w:cs="Quicksand" w:eastAsia="Quicksand" w:hAnsi="Quicksand"/>
          <w:sz w:val="24"/>
          <w:szCs w:val="24"/>
          <w:rtl w:val="0"/>
        </w:rPr>
        <w:t xml:space="preserve"> </w:t>
      </w:r>
      <w:r w:rsidDel="00000000" w:rsidR="00000000" w:rsidRPr="00000000">
        <w:rPr>
          <w:rFonts w:ascii="Quicksand" w:cs="Quicksand" w:eastAsia="Quicksand" w:hAnsi="Quicksand"/>
          <w:sz w:val="24"/>
          <w:szCs w:val="24"/>
          <w:rtl w:val="0"/>
        </w:rPr>
        <w:t xml:space="preserve">that</w:t>
      </w:r>
      <w:r w:rsidDel="00000000" w:rsidR="00000000" w:rsidRPr="00000000">
        <w:rPr>
          <w:rFonts w:ascii="Quicksand" w:cs="Quicksand" w:eastAsia="Quicksand" w:hAnsi="Quicksand"/>
          <w:sz w:val="24"/>
          <w:szCs w:val="24"/>
          <w:rtl w:val="0"/>
        </w:rPr>
        <w:t xml:space="preserve"> </w:t>
      </w:r>
      <w:r w:rsidDel="00000000" w:rsidR="00000000" w:rsidRPr="00000000">
        <w:rPr>
          <w:rFonts w:ascii="Quicksand" w:cs="Quicksand" w:eastAsia="Quicksand" w:hAnsi="Quicksand"/>
          <w:sz w:val="24"/>
          <w:szCs w:val="24"/>
          <w:rtl w:val="0"/>
        </w:rPr>
        <w:t xml:space="preserve">He</w:t>
      </w:r>
      <w:r w:rsidDel="00000000" w:rsidR="00000000" w:rsidRPr="00000000">
        <w:rPr>
          <w:rFonts w:ascii="Quicksand" w:cs="Quicksand" w:eastAsia="Quicksand" w:hAnsi="Quicksand"/>
          <w:sz w:val="24"/>
          <w:szCs w:val="24"/>
          <w:rtl w:val="0"/>
        </w:rPr>
        <w:t xml:space="preserve"> </w:t>
      </w:r>
      <w:r w:rsidDel="00000000" w:rsidR="00000000" w:rsidRPr="00000000">
        <w:rPr>
          <w:rFonts w:ascii="Quicksand" w:cs="Quicksand" w:eastAsia="Quicksand" w:hAnsi="Quicksand"/>
          <w:sz w:val="24"/>
          <w:szCs w:val="24"/>
          <w:rtl w:val="0"/>
        </w:rPr>
        <w:t xml:space="preserve">had</w:t>
      </w:r>
      <w:r w:rsidDel="00000000" w:rsidR="00000000" w:rsidRPr="00000000">
        <w:rPr>
          <w:rFonts w:ascii="Quicksand" w:cs="Quicksand" w:eastAsia="Quicksand" w:hAnsi="Quicksand"/>
          <w:sz w:val="24"/>
          <w:szCs w:val="24"/>
          <w:rtl w:val="0"/>
        </w:rPr>
        <w:t xml:space="preserve"> </w:t>
      </w:r>
      <w:r w:rsidDel="00000000" w:rsidR="00000000" w:rsidRPr="00000000">
        <w:rPr>
          <w:rFonts w:ascii="Quicksand" w:cs="Quicksand" w:eastAsia="Quicksand" w:hAnsi="Quicksand"/>
          <w:sz w:val="24"/>
          <w:szCs w:val="24"/>
          <w:rtl w:val="0"/>
        </w:rPr>
        <w:t xml:space="preserve">made</w:t>
      </w:r>
      <w:r w:rsidDel="00000000" w:rsidR="00000000" w:rsidRPr="00000000">
        <w:rPr>
          <w:rFonts w:ascii="Quicksand" w:cs="Quicksand" w:eastAsia="Quicksand" w:hAnsi="Quicksand"/>
          <w:sz w:val="24"/>
          <w:szCs w:val="24"/>
          <w:rtl w:val="0"/>
        </w:rPr>
        <w:t xml:space="preserve">, </w:t>
      </w:r>
      <w:r w:rsidDel="00000000" w:rsidR="00000000" w:rsidRPr="00000000">
        <w:rPr>
          <w:rFonts w:ascii="Quicksand" w:cs="Quicksand" w:eastAsia="Quicksand" w:hAnsi="Quicksand"/>
          <w:sz w:val="24"/>
          <w:szCs w:val="24"/>
          <w:rtl w:val="0"/>
        </w:rPr>
        <w:t xml:space="preserve">and</w:t>
      </w:r>
      <w:r w:rsidDel="00000000" w:rsidR="00000000" w:rsidRPr="00000000">
        <w:rPr>
          <w:rFonts w:ascii="Quicksand" w:cs="Quicksand" w:eastAsia="Quicksand" w:hAnsi="Quicksand"/>
          <w:sz w:val="24"/>
          <w:szCs w:val="24"/>
          <w:rtl w:val="0"/>
        </w:rPr>
        <w:t xml:space="preserve">, </w:t>
      </w:r>
      <w:r w:rsidDel="00000000" w:rsidR="00000000" w:rsidRPr="00000000">
        <w:rPr>
          <w:rFonts w:ascii="Quicksand" w:cs="Quicksand" w:eastAsia="Quicksand" w:hAnsi="Quicksand"/>
          <w:sz w:val="24"/>
          <w:szCs w:val="24"/>
          <w:rtl w:val="0"/>
        </w:rPr>
        <w:t xml:space="preserve">behold</w:t>
      </w:r>
      <w:r w:rsidDel="00000000" w:rsidR="00000000" w:rsidRPr="00000000">
        <w:rPr>
          <w:rFonts w:ascii="Quicksand" w:cs="Quicksand" w:eastAsia="Quicksand" w:hAnsi="Quicksand"/>
          <w:sz w:val="24"/>
          <w:szCs w:val="24"/>
          <w:rtl w:val="0"/>
        </w:rPr>
        <w:t xml:space="preserve">, </w:t>
      </w:r>
      <w:r w:rsidDel="00000000" w:rsidR="00000000" w:rsidRPr="00000000">
        <w:rPr>
          <w:rFonts w:ascii="Quicksand" w:cs="Quicksand" w:eastAsia="Quicksand" w:hAnsi="Quicksand"/>
          <w:sz w:val="24"/>
          <w:szCs w:val="24"/>
          <w:rtl w:val="0"/>
        </w:rPr>
        <w:t xml:space="preserve">it</w:t>
      </w:r>
      <w:r w:rsidDel="00000000" w:rsidR="00000000" w:rsidRPr="00000000">
        <w:rPr>
          <w:rFonts w:ascii="Quicksand" w:cs="Quicksand" w:eastAsia="Quicksand" w:hAnsi="Quicksand"/>
          <w:sz w:val="24"/>
          <w:szCs w:val="24"/>
          <w:rtl w:val="0"/>
        </w:rPr>
        <w:t xml:space="preserve"> </w:t>
      </w:r>
      <w:r w:rsidDel="00000000" w:rsidR="00000000" w:rsidRPr="00000000">
        <w:rPr>
          <w:rFonts w:ascii="Quicksand" w:cs="Quicksand" w:eastAsia="Quicksand" w:hAnsi="Quicksand"/>
          <w:sz w:val="24"/>
          <w:szCs w:val="24"/>
          <w:rtl w:val="0"/>
        </w:rPr>
        <w:t xml:space="preserve">was</w:t>
      </w:r>
      <w:r w:rsidDel="00000000" w:rsidR="00000000" w:rsidRPr="00000000">
        <w:rPr>
          <w:rFonts w:ascii="Quicksand" w:cs="Quicksand" w:eastAsia="Quicksand" w:hAnsi="Quicksand"/>
          <w:sz w:val="24"/>
          <w:szCs w:val="24"/>
          <w:rtl w:val="0"/>
        </w:rPr>
        <w:t xml:space="preserve"> </w:t>
      </w:r>
      <w:r w:rsidDel="00000000" w:rsidR="00000000" w:rsidRPr="00000000">
        <w:rPr>
          <w:rFonts w:ascii="Quicksand" w:cs="Quicksand" w:eastAsia="Quicksand" w:hAnsi="Quicksand"/>
          <w:sz w:val="24"/>
          <w:szCs w:val="24"/>
          <w:rtl w:val="0"/>
        </w:rPr>
        <w:t xml:space="preserve">very</w:t>
      </w:r>
      <w:r w:rsidDel="00000000" w:rsidR="00000000" w:rsidRPr="00000000">
        <w:rPr>
          <w:rFonts w:ascii="Quicksand" w:cs="Quicksand" w:eastAsia="Quicksand" w:hAnsi="Quicksand"/>
          <w:sz w:val="24"/>
          <w:szCs w:val="24"/>
          <w:rtl w:val="0"/>
        </w:rPr>
        <w:t xml:space="preserve"> </w:t>
      </w:r>
      <w:r w:rsidDel="00000000" w:rsidR="00000000" w:rsidRPr="00000000">
        <w:rPr>
          <w:rFonts w:ascii="Quicksand" w:cs="Quicksand" w:eastAsia="Quicksand" w:hAnsi="Quicksand"/>
          <w:sz w:val="24"/>
          <w:szCs w:val="24"/>
          <w:rtl w:val="0"/>
        </w:rPr>
        <w:t xml:space="preserve">good</w:t>
      </w:r>
      <w:r w:rsidDel="00000000" w:rsidR="00000000" w:rsidRPr="00000000">
        <w:rPr>
          <w:rFonts w:ascii="Quicksand" w:cs="Quicksand" w:eastAsia="Quicksand" w:hAnsi="Quicksand"/>
          <w:sz w:val="24"/>
          <w:szCs w:val="24"/>
          <w:rtl w:val="0"/>
        </w:rPr>
        <w:t xml:space="preserve">’ (</w:t>
      </w:r>
      <w:r w:rsidDel="00000000" w:rsidR="00000000" w:rsidRPr="00000000">
        <w:rPr>
          <w:rFonts w:ascii="Quicksand" w:cs="Quicksand" w:eastAsia="Quicksand" w:hAnsi="Quicksand"/>
          <w:sz w:val="24"/>
          <w:szCs w:val="24"/>
          <w:rtl w:val="1"/>
        </w:rPr>
        <w:t xml:space="preserve">טוב</w:t>
      </w:r>
      <w:r w:rsidDel="00000000" w:rsidR="00000000" w:rsidRPr="00000000">
        <w:rPr>
          <w:rFonts w:ascii="Quicksand" w:cs="Quicksand" w:eastAsia="Quicksand" w:hAnsi="Quicksand"/>
          <w:sz w:val="24"/>
          <w:szCs w:val="24"/>
          <w:rtl w:val="1"/>
        </w:rPr>
        <w:t xml:space="preserve"> </w:t>
      </w:r>
      <w:r w:rsidDel="00000000" w:rsidR="00000000" w:rsidRPr="00000000">
        <w:rPr>
          <w:rFonts w:ascii="Quicksand" w:cs="Quicksand" w:eastAsia="Quicksand" w:hAnsi="Quicksand"/>
          <w:sz w:val="24"/>
          <w:szCs w:val="24"/>
          <w:rtl w:val="1"/>
        </w:rPr>
        <w:t xml:space="preserve">מאד</w:t>
      </w:r>
      <w:r w:rsidDel="00000000" w:rsidR="00000000" w:rsidRPr="00000000">
        <w:rPr>
          <w:rFonts w:ascii="Quicksand" w:cs="Quicksand" w:eastAsia="Quicksand" w:hAnsi="Quicksand"/>
          <w:sz w:val="24"/>
          <w:szCs w:val="24"/>
          <w:rtl w:val="0"/>
        </w:rPr>
        <w:t xml:space="preserve">), </w:t>
      </w:r>
      <w:r w:rsidDel="00000000" w:rsidR="00000000" w:rsidRPr="00000000">
        <w:rPr>
          <w:rFonts w:ascii="Quicksand" w:cs="Quicksand" w:eastAsia="Quicksand" w:hAnsi="Quicksand"/>
          <w:sz w:val="24"/>
          <w:szCs w:val="24"/>
          <w:rtl w:val="0"/>
        </w:rPr>
        <w:t xml:space="preserve">R</w:t>
      </w:r>
      <w:r w:rsidDel="00000000" w:rsidR="00000000" w:rsidRPr="00000000">
        <w:rPr>
          <w:rFonts w:ascii="Quicksand" w:cs="Quicksand" w:eastAsia="Quicksand" w:hAnsi="Quicksand"/>
          <w:sz w:val="24"/>
          <w:szCs w:val="24"/>
          <w:rtl w:val="0"/>
        </w:rPr>
        <w:t xml:space="preserve">. </w:t>
      </w:r>
      <w:r w:rsidDel="00000000" w:rsidR="00000000" w:rsidRPr="00000000">
        <w:rPr>
          <w:rFonts w:ascii="Quicksand" w:cs="Quicksand" w:eastAsia="Quicksand" w:hAnsi="Quicksand"/>
          <w:sz w:val="24"/>
          <w:szCs w:val="24"/>
          <w:rtl w:val="0"/>
        </w:rPr>
        <w:t xml:space="preserve">Meir</w:t>
      </w:r>
      <w:r w:rsidDel="00000000" w:rsidR="00000000" w:rsidRPr="00000000">
        <w:rPr>
          <w:rFonts w:ascii="Quicksand" w:cs="Quicksand" w:eastAsia="Quicksand" w:hAnsi="Quicksand"/>
          <w:sz w:val="24"/>
          <w:szCs w:val="24"/>
          <w:rtl w:val="0"/>
        </w:rPr>
        <w:t xml:space="preserve">’</w:t>
      </w:r>
      <w:r w:rsidDel="00000000" w:rsidR="00000000" w:rsidRPr="00000000">
        <w:rPr>
          <w:rFonts w:ascii="Quicksand" w:cs="Quicksand" w:eastAsia="Quicksand" w:hAnsi="Quicksand"/>
          <w:sz w:val="24"/>
          <w:szCs w:val="24"/>
          <w:rtl w:val="0"/>
        </w:rPr>
        <w:t xml:space="preserve">s</w:t>
      </w:r>
      <w:r w:rsidDel="00000000" w:rsidR="00000000" w:rsidRPr="00000000">
        <w:rPr>
          <w:rFonts w:ascii="Quicksand" w:cs="Quicksand" w:eastAsia="Quicksand" w:hAnsi="Quicksand"/>
          <w:sz w:val="24"/>
          <w:szCs w:val="24"/>
          <w:rtl w:val="0"/>
        </w:rPr>
        <w:t xml:space="preserve"> </w:t>
      </w:r>
      <w:r w:rsidDel="00000000" w:rsidR="00000000" w:rsidRPr="00000000">
        <w:rPr>
          <w:rFonts w:ascii="Quicksand" w:cs="Quicksand" w:eastAsia="Quicksand" w:hAnsi="Quicksand"/>
          <w:sz w:val="24"/>
          <w:szCs w:val="24"/>
          <w:rtl w:val="0"/>
        </w:rPr>
        <w:t xml:space="preserve">text</w:t>
      </w:r>
      <w:r w:rsidDel="00000000" w:rsidR="00000000" w:rsidRPr="00000000">
        <w:rPr>
          <w:rFonts w:ascii="Quicksand" w:cs="Quicksand" w:eastAsia="Quicksand" w:hAnsi="Quicksand"/>
          <w:sz w:val="24"/>
          <w:szCs w:val="24"/>
          <w:rtl w:val="0"/>
        </w:rPr>
        <w:t xml:space="preserve"> </w:t>
      </w:r>
      <w:r w:rsidDel="00000000" w:rsidR="00000000" w:rsidRPr="00000000">
        <w:rPr>
          <w:rFonts w:ascii="Quicksand" w:cs="Quicksand" w:eastAsia="Quicksand" w:hAnsi="Quicksand"/>
          <w:sz w:val="24"/>
          <w:szCs w:val="24"/>
          <w:rtl w:val="0"/>
        </w:rPr>
        <w:t xml:space="preserve">read</w:t>
      </w:r>
      <w:r w:rsidDel="00000000" w:rsidR="00000000" w:rsidRPr="00000000">
        <w:rPr>
          <w:rFonts w:ascii="Quicksand" w:cs="Quicksand" w:eastAsia="Quicksand" w:hAnsi="Quicksand"/>
          <w:sz w:val="24"/>
          <w:szCs w:val="24"/>
          <w:rtl w:val="0"/>
        </w:rPr>
        <w:t xml:space="preserve">: ‘</w:t>
      </w:r>
      <w:r w:rsidDel="00000000" w:rsidR="00000000" w:rsidRPr="00000000">
        <w:rPr>
          <w:rFonts w:ascii="Quicksand" w:cs="Quicksand" w:eastAsia="Quicksand" w:hAnsi="Quicksand"/>
          <w:sz w:val="24"/>
          <w:szCs w:val="24"/>
          <w:rtl w:val="0"/>
        </w:rPr>
        <w:t xml:space="preserve">Behold</w:t>
      </w:r>
      <w:r w:rsidDel="00000000" w:rsidR="00000000" w:rsidRPr="00000000">
        <w:rPr>
          <w:rFonts w:ascii="Quicksand" w:cs="Quicksand" w:eastAsia="Quicksand" w:hAnsi="Quicksand"/>
          <w:sz w:val="24"/>
          <w:szCs w:val="24"/>
          <w:rtl w:val="0"/>
        </w:rPr>
        <w:t xml:space="preserve">, </w:t>
      </w:r>
      <w:r w:rsidDel="00000000" w:rsidR="00000000" w:rsidRPr="00000000">
        <w:rPr>
          <w:rFonts w:ascii="Quicksand" w:cs="Quicksand" w:eastAsia="Quicksand" w:hAnsi="Quicksand"/>
          <w:sz w:val="24"/>
          <w:szCs w:val="24"/>
          <w:rtl w:val="0"/>
        </w:rPr>
        <w:t xml:space="preserve">death</w:t>
      </w:r>
      <w:r w:rsidDel="00000000" w:rsidR="00000000" w:rsidRPr="00000000">
        <w:rPr>
          <w:rFonts w:ascii="Quicksand" w:cs="Quicksand" w:eastAsia="Quicksand" w:hAnsi="Quicksand"/>
          <w:sz w:val="24"/>
          <w:szCs w:val="24"/>
          <w:rtl w:val="0"/>
        </w:rPr>
        <w:t xml:space="preserve"> </w:t>
      </w:r>
      <w:r w:rsidDel="00000000" w:rsidR="00000000" w:rsidRPr="00000000">
        <w:rPr>
          <w:rFonts w:ascii="Quicksand" w:cs="Quicksand" w:eastAsia="Quicksand" w:hAnsi="Quicksand"/>
          <w:sz w:val="24"/>
          <w:szCs w:val="24"/>
          <w:rtl w:val="0"/>
        </w:rPr>
        <w:t xml:space="preserve">was</w:t>
      </w:r>
      <w:r w:rsidDel="00000000" w:rsidR="00000000" w:rsidRPr="00000000">
        <w:rPr>
          <w:rFonts w:ascii="Quicksand" w:cs="Quicksand" w:eastAsia="Quicksand" w:hAnsi="Quicksand"/>
          <w:sz w:val="24"/>
          <w:szCs w:val="24"/>
          <w:rtl w:val="0"/>
        </w:rPr>
        <w:t xml:space="preserve"> </w:t>
      </w:r>
      <w:r w:rsidDel="00000000" w:rsidR="00000000" w:rsidRPr="00000000">
        <w:rPr>
          <w:rFonts w:ascii="Quicksand" w:cs="Quicksand" w:eastAsia="Quicksand" w:hAnsi="Quicksand"/>
          <w:sz w:val="24"/>
          <w:szCs w:val="24"/>
          <w:rtl w:val="0"/>
        </w:rPr>
        <w:t xml:space="preserve">good</w:t>
      </w:r>
      <w:r w:rsidDel="00000000" w:rsidR="00000000" w:rsidRPr="00000000">
        <w:rPr>
          <w:rFonts w:ascii="Quicksand" w:cs="Quicksand" w:eastAsia="Quicksand" w:hAnsi="Quicksand"/>
          <w:sz w:val="24"/>
          <w:szCs w:val="24"/>
          <w:rtl w:val="0"/>
        </w:rPr>
        <w:t xml:space="preserve">’ (</w:t>
      </w:r>
      <w:r w:rsidDel="00000000" w:rsidR="00000000" w:rsidRPr="00000000">
        <w:rPr>
          <w:rFonts w:ascii="Quicksand" w:cs="Quicksand" w:eastAsia="Quicksand" w:hAnsi="Quicksand"/>
          <w:sz w:val="24"/>
          <w:szCs w:val="24"/>
          <w:rtl w:val="1"/>
        </w:rPr>
        <w:t xml:space="preserve">טוב</w:t>
      </w:r>
      <w:r w:rsidDel="00000000" w:rsidR="00000000" w:rsidRPr="00000000">
        <w:rPr>
          <w:rFonts w:ascii="Quicksand" w:cs="Quicksand" w:eastAsia="Quicksand" w:hAnsi="Quicksand"/>
          <w:sz w:val="24"/>
          <w:szCs w:val="24"/>
          <w:rtl w:val="1"/>
        </w:rPr>
        <w:t xml:space="preserve"> </w:t>
      </w:r>
      <w:r w:rsidDel="00000000" w:rsidR="00000000" w:rsidRPr="00000000">
        <w:rPr>
          <w:rFonts w:ascii="Quicksand" w:cs="Quicksand" w:eastAsia="Quicksand" w:hAnsi="Quicksand"/>
          <w:sz w:val="24"/>
          <w:szCs w:val="24"/>
          <w:rtl w:val="1"/>
        </w:rPr>
        <w:t xml:space="preserve">מות</w:t>
      </w:r>
      <w:r w:rsidDel="00000000" w:rsidR="00000000" w:rsidRPr="00000000">
        <w:rPr>
          <w:rFonts w:ascii="Quicksand" w:cs="Quicksand" w:eastAsia="Quicksand" w:hAnsi="Quicksand"/>
          <w:sz w:val="24"/>
          <w:szCs w:val="24"/>
          <w:rtl w:val="0"/>
        </w:rPr>
        <w:t xml:space="preserve">).</w:t>
      </w:r>
      <w:r w:rsidDel="00000000" w:rsidR="00000000" w:rsidRPr="00000000">
        <w:rPr>
          <w:rFonts w:ascii="Quicksand" w:cs="Quicksand" w:eastAsia="Quicksand" w:hAnsi="Quicksand"/>
          <w:sz w:val="24"/>
          <w:szCs w:val="24"/>
          <w:vertAlign w:val="superscript"/>
        </w:rPr>
        <w:footnoteReference w:customMarkFollows="0" w:id="8"/>
      </w: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Quicksand" w:cs="Quicksand" w:eastAsia="Quicksand" w:hAnsi="Quicksand"/>
          <w:sz w:val="24"/>
          <w:szCs w:val="24"/>
          <w:rtl w:val="0"/>
        </w:rPr>
        <w:t xml:space="preserve">...Acceptance of Maimonides’ Principle presumably means that the extra inverted </w:t>
      </w:r>
      <w:r w:rsidDel="00000000" w:rsidR="00000000" w:rsidRPr="00000000">
        <w:rPr>
          <w:rFonts w:ascii="Quicksand" w:cs="Quicksand" w:eastAsia="Quicksand" w:hAnsi="Quicksand"/>
          <w:i w:val="1"/>
          <w:sz w:val="24"/>
          <w:szCs w:val="24"/>
          <w:rtl w:val="0"/>
        </w:rPr>
        <w:t xml:space="preserve">nuns</w:t>
      </w:r>
      <w:r w:rsidDel="00000000" w:rsidR="00000000" w:rsidRPr="00000000">
        <w:rPr>
          <w:rFonts w:ascii="Quicksand" w:cs="Quicksand" w:eastAsia="Quicksand" w:hAnsi="Quicksand"/>
          <w:sz w:val="24"/>
          <w:szCs w:val="24"/>
          <w:rtl w:val="0"/>
        </w:rPr>
        <w:t xml:space="preserve"> at the end of the tenth chapter of Numbers are also Mosaic. However, the unknown author of </w:t>
      </w:r>
      <w:r w:rsidDel="00000000" w:rsidR="00000000" w:rsidRPr="00000000">
        <w:rPr>
          <w:rFonts w:ascii="Quicksand" w:cs="Quicksand" w:eastAsia="Quicksand" w:hAnsi="Quicksand"/>
          <w:i w:val="1"/>
          <w:sz w:val="24"/>
          <w:szCs w:val="24"/>
          <w:rtl w:val="0"/>
        </w:rPr>
        <w:t xml:space="preserve">Ginzei mitsrayim</w:t>
      </w:r>
      <w:r w:rsidDel="00000000" w:rsidR="00000000" w:rsidRPr="00000000">
        <w:rPr>
          <w:rFonts w:ascii="Quicksand" w:cs="Quicksand" w:eastAsia="Quicksand" w:hAnsi="Quicksand"/>
          <w:sz w:val="24"/>
          <w:szCs w:val="24"/>
          <w:rtl w:val="0"/>
        </w:rPr>
        <w:t xml:space="preserve"> (eleventh century) quotes ‘some midrashim’ which state that it was the sages who added the inverted </w:t>
      </w:r>
      <w:r w:rsidDel="00000000" w:rsidR="00000000" w:rsidRPr="00000000">
        <w:rPr>
          <w:rFonts w:ascii="Quicksand" w:cs="Quicksand" w:eastAsia="Quicksand" w:hAnsi="Quicksand"/>
          <w:i w:val="1"/>
          <w:sz w:val="24"/>
          <w:szCs w:val="24"/>
          <w:rtl w:val="0"/>
        </w:rPr>
        <w:t xml:space="preserve">nuns</w:t>
      </w:r>
      <w:r w:rsidDel="00000000" w:rsidR="00000000" w:rsidRPr="00000000">
        <w:rPr>
          <w:rFonts w:ascii="Quicksand" w:cs="Quicksand" w:eastAsia="Quicksand" w:hAnsi="Quicksand"/>
          <w:sz w:val="24"/>
          <w:szCs w:val="24"/>
          <w:rtl w:val="0"/>
        </w:rPr>
        <w:t xml:space="preserve">. R. Solomon Luria describes twelve different ways of writing them, and adds that the entire notion of inverted </w:t>
      </w:r>
      <w:r w:rsidDel="00000000" w:rsidR="00000000" w:rsidRPr="00000000">
        <w:rPr>
          <w:rFonts w:ascii="Quicksand" w:cs="Quicksand" w:eastAsia="Quicksand" w:hAnsi="Quicksand"/>
          <w:i w:val="1"/>
          <w:sz w:val="24"/>
          <w:szCs w:val="24"/>
          <w:rtl w:val="0"/>
        </w:rPr>
        <w:t xml:space="preserve">nuns</w:t>
      </w:r>
      <w:r w:rsidDel="00000000" w:rsidR="00000000" w:rsidRPr="00000000">
        <w:rPr>
          <w:rFonts w:ascii="Quicksand" w:cs="Quicksand" w:eastAsia="Quicksand" w:hAnsi="Quicksand"/>
          <w:sz w:val="24"/>
          <w:szCs w:val="24"/>
          <w:rtl w:val="0"/>
        </w:rPr>
        <w:t xml:space="preserve"> has no basis in the Talmud but is rather based on the kabbalah. Furthermore, according to Luria, the way in which the inverted </w:t>
      </w:r>
      <w:r w:rsidDel="00000000" w:rsidR="00000000" w:rsidRPr="00000000">
        <w:rPr>
          <w:rFonts w:ascii="Quicksand" w:cs="Quicksand" w:eastAsia="Quicksand" w:hAnsi="Quicksand"/>
          <w:i w:val="1"/>
          <w:sz w:val="24"/>
          <w:szCs w:val="24"/>
          <w:rtl w:val="0"/>
        </w:rPr>
        <w:t xml:space="preserve">nuns</w:t>
      </w:r>
      <w:r w:rsidDel="00000000" w:rsidR="00000000" w:rsidRPr="00000000">
        <w:rPr>
          <w:rFonts w:ascii="Quicksand" w:cs="Quicksand" w:eastAsia="Quicksand" w:hAnsi="Quicksand"/>
          <w:sz w:val="24"/>
          <w:szCs w:val="24"/>
          <w:rtl w:val="0"/>
        </w:rPr>
        <w:t xml:space="preserve"> are currently written, with the addition of two exra letters, invalidates the Torah scroll!</w:t>
      </w:r>
      <w:r w:rsidDel="00000000" w:rsidR="00000000" w:rsidRPr="00000000">
        <w:rPr>
          <w:rFonts w:ascii="Quicksand" w:cs="Quicksand" w:eastAsia="Quicksand" w:hAnsi="Quicksand"/>
          <w:sz w:val="24"/>
          <w:szCs w:val="24"/>
          <w:vertAlign w:val="superscript"/>
        </w:rPr>
        <w:footnoteReference w:customMarkFollows="0" w:id="9"/>
      </w:r>
      <w:r w:rsidDel="00000000" w:rsidR="00000000" w:rsidRPr="00000000">
        <w:rPr>
          <w:rFonts w:ascii="Quicksand" w:cs="Quicksand" w:eastAsia="Quicksand" w:hAnsi="Quicksand"/>
          <w:sz w:val="24"/>
          <w:szCs w:val="24"/>
          <w:rtl w:val="0"/>
        </w:rPr>
        <w:t xml:space="preserve"> In other words, there is no question according to Luria and the midrashim referred to above that present-day Torah scrolls are not identical to the Torah given to Moses.</w:t>
      </w:r>
    </w:p>
    <w:p w:rsidR="00000000" w:rsidDel="00000000" w:rsidP="00000000" w:rsidRDefault="00000000" w:rsidRPr="00000000">
      <w:pPr>
        <w:ind w:left="0" w:firstLine="0"/>
        <w:contextualSpacing w:val="0"/>
        <w:jc w:val="left"/>
      </w:pPr>
      <w:r w:rsidDel="00000000" w:rsidR="00000000" w:rsidRPr="00000000">
        <w:rPr>
          <w:rtl w:val="0"/>
        </w:rPr>
      </w:r>
    </w:p>
    <w:p w:rsidR="00000000" w:rsidDel="00000000" w:rsidP="00000000" w:rsidRDefault="00000000" w:rsidRPr="00000000">
      <w:pPr>
        <w:numPr>
          <w:ilvl w:val="0"/>
          <w:numId w:val="12"/>
        </w:numPr>
        <w:ind w:left="720" w:hanging="360"/>
        <w:contextualSpacing w:val="1"/>
        <w:jc w:val="left"/>
        <w:rPr>
          <w:rFonts w:ascii="Quicksand" w:cs="Quicksand" w:eastAsia="Quicksand" w:hAnsi="Quicksand"/>
          <w:b w:val="1"/>
          <w:sz w:val="24"/>
          <w:szCs w:val="24"/>
          <w:u w:val="none"/>
        </w:rPr>
      </w:pPr>
      <w:r w:rsidDel="00000000" w:rsidR="00000000" w:rsidRPr="00000000">
        <w:rPr>
          <w:rFonts w:ascii="Quicksand" w:cs="Quicksand" w:eastAsia="Quicksand" w:hAnsi="Quicksand"/>
          <w:b w:val="1"/>
          <w:sz w:val="24"/>
          <w:szCs w:val="24"/>
          <w:u w:val="single"/>
          <w:rtl w:val="0"/>
        </w:rPr>
        <w:t xml:space="preserve">Ginat Veradim (R. Abraham b. Mordechai HaLevi, 17th c.), </w:t>
      </w:r>
      <w:r w:rsidDel="00000000" w:rsidR="00000000" w:rsidRPr="00000000">
        <w:rPr>
          <w:rFonts w:ascii="Quicksand" w:cs="Quicksand" w:eastAsia="Quicksand" w:hAnsi="Quicksand"/>
          <w:b w:val="1"/>
          <w:i w:val="1"/>
          <w:sz w:val="24"/>
          <w:szCs w:val="24"/>
          <w:u w:val="single"/>
          <w:rtl w:val="0"/>
        </w:rPr>
        <w:t xml:space="preserve">kelal </w:t>
      </w:r>
      <w:r w:rsidDel="00000000" w:rsidR="00000000" w:rsidRPr="00000000">
        <w:rPr>
          <w:rFonts w:ascii="Quicksand" w:cs="Quicksand" w:eastAsia="Quicksand" w:hAnsi="Quicksand"/>
          <w:b w:val="1"/>
          <w:sz w:val="24"/>
          <w:szCs w:val="24"/>
          <w:u w:val="single"/>
          <w:rtl w:val="0"/>
        </w:rPr>
        <w:t xml:space="preserve">2, no. 6</w:t>
      </w:r>
    </w:p>
    <w:p w:rsidR="00000000" w:rsidDel="00000000" w:rsidP="00000000" w:rsidRDefault="00000000" w:rsidRPr="00000000">
      <w:pPr>
        <w:ind w:left="0" w:firstLine="0"/>
        <w:contextualSpacing w:val="0"/>
        <w:jc w:val="center"/>
      </w:pPr>
      <w:r w:rsidDel="00000000" w:rsidR="00000000" w:rsidRPr="00000000">
        <w:drawing>
          <wp:inline distB="114300" distT="114300" distL="114300" distR="114300">
            <wp:extent cx="3971925" cy="2790825"/>
            <wp:effectExtent b="0" l="0" r="0" t="0"/>
            <wp:docPr id="4" name="image07.png"/>
            <a:graphic>
              <a:graphicData uri="http://schemas.openxmlformats.org/drawingml/2006/picture">
                <pic:pic>
                  <pic:nvPicPr>
                    <pic:cNvPr id="0" name="image07.png"/>
                    <pic:cNvPicPr preferRelativeResize="0"/>
                  </pic:nvPicPr>
                  <pic:blipFill>
                    <a:blip r:embed="rId6"/>
                    <a:srcRect b="0" l="0" r="0" t="0"/>
                    <a:stretch>
                      <a:fillRect/>
                    </a:stretch>
                  </pic:blipFill>
                  <pic:spPr>
                    <a:xfrm>
                      <a:off x="0" y="0"/>
                      <a:ext cx="3971925" cy="2790825"/>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2"/>
        </w:numPr>
        <w:ind w:left="720" w:hanging="360"/>
        <w:contextualSpacing w:val="1"/>
        <w:jc w:val="left"/>
        <w:rPr>
          <w:rFonts w:ascii="Quicksand" w:cs="Quicksand" w:eastAsia="Quicksand" w:hAnsi="Quicksand"/>
          <w:b w:val="1"/>
          <w:sz w:val="24"/>
          <w:szCs w:val="24"/>
          <w:u w:val="none"/>
        </w:rPr>
      </w:pPr>
      <w:r w:rsidDel="00000000" w:rsidR="00000000" w:rsidRPr="00000000">
        <w:rPr>
          <w:rFonts w:ascii="Quicksand" w:cs="Quicksand" w:eastAsia="Quicksand" w:hAnsi="Quicksand"/>
          <w:b w:val="1"/>
          <w:sz w:val="24"/>
          <w:szCs w:val="24"/>
          <w:u w:val="single"/>
          <w:rtl w:val="0"/>
        </w:rPr>
        <w:t xml:space="preserve">Chumash: Stone Edition, p. xix</w:t>
      </w:r>
    </w:p>
    <w:p w:rsidR="00000000" w:rsidDel="00000000" w:rsidP="00000000" w:rsidRDefault="00000000" w:rsidRPr="00000000">
      <w:pPr>
        <w:ind w:left="0" w:firstLine="0"/>
        <w:contextualSpacing w:val="0"/>
        <w:jc w:val="left"/>
      </w:pPr>
      <w:r w:rsidDel="00000000" w:rsidR="00000000" w:rsidRPr="00000000">
        <w:rPr>
          <w:rFonts w:ascii="Quicksand" w:cs="Quicksand" w:eastAsia="Quicksand" w:hAnsi="Quicksand"/>
          <w:sz w:val="24"/>
          <w:szCs w:val="24"/>
          <w:rtl w:val="0"/>
        </w:rPr>
        <w:t xml:space="preserve">Rambam sets forth at much greater length the unanimously held view that every letter and word was given to Moses by God. </w:t>
      </w:r>
    </w:p>
    <w:p w:rsidR="00000000" w:rsidDel="00000000" w:rsidP="00000000" w:rsidRDefault="00000000" w:rsidRPr="00000000">
      <w:pPr>
        <w:numPr>
          <w:ilvl w:val="0"/>
          <w:numId w:val="5"/>
        </w:numPr>
        <w:ind w:left="720" w:hanging="360"/>
        <w:contextualSpacing w:val="1"/>
        <w:jc w:val="left"/>
        <w:rPr>
          <w:rFonts w:ascii="Quicksand" w:cs="Quicksand" w:eastAsia="Quicksand" w:hAnsi="Quicksand"/>
          <w:b w:val="1"/>
          <w:sz w:val="24"/>
          <w:szCs w:val="24"/>
          <w:u w:val="none"/>
        </w:rPr>
      </w:pPr>
      <w:r w:rsidDel="00000000" w:rsidR="00000000" w:rsidRPr="00000000">
        <w:rPr>
          <w:rFonts w:ascii="Quicksand" w:cs="Quicksand" w:eastAsia="Quicksand" w:hAnsi="Quicksand"/>
          <w:b w:val="1"/>
          <w:sz w:val="24"/>
          <w:szCs w:val="24"/>
          <w:u w:val="single"/>
          <w:rtl w:val="0"/>
        </w:rPr>
        <w:t xml:space="preserve">Rashi, Devarim Ch. 34:5</w:t>
      </w:r>
    </w:p>
    <w:p w:rsidR="00000000" w:rsidDel="00000000" w:rsidP="00000000" w:rsidRDefault="00000000" w:rsidRPr="00000000">
      <w:pPr>
        <w:ind w:left="0" w:firstLine="0"/>
        <w:contextualSpacing w:val="0"/>
        <w:jc w:val="left"/>
      </w:pPr>
      <w:r w:rsidDel="00000000" w:rsidR="00000000" w:rsidRPr="00000000">
        <w:rPr>
          <w:rFonts w:ascii="Quicksand" w:cs="Quicksand" w:eastAsia="Quicksand" w:hAnsi="Quicksand"/>
          <w:sz w:val="24"/>
          <w:szCs w:val="24"/>
          <w:rtl w:val="0"/>
        </w:rPr>
        <w:t xml:space="preserve">And Moses… died there: Is it possible that Moses died, and [then] wrote, “And Moses… died there”? But [the answer is:] Moses wrote up to that juncture, and Joshua wrote from then on. Says Rabbi Meir: But is it possible that the Torah Scroll would be lacking anything at all, and yet Scripture states (Deut. 31:26),“Take this Torah Scroll” [and Moses commanded this to the Levites; so, according to the above opinion, is it possible that the Torah Scroll referred to there was an incomplete one, up to the juncture of Moses’s death? This cannot be!] Rather, [continues Rabbi Meir, we must say that] The Holy One, blessed is He, dictated this [i.e., the verse “And Moses… died there”], and Moses wrote it in tears. — [B.B. 15b, Sifrei 33:34]</w:t>
      </w:r>
    </w:p>
    <w:p w:rsidR="00000000" w:rsidDel="00000000" w:rsidP="00000000" w:rsidRDefault="00000000" w:rsidRPr="00000000">
      <w:pPr>
        <w:numPr>
          <w:ilvl w:val="0"/>
          <w:numId w:val="6"/>
        </w:numPr>
        <w:ind w:left="720" w:hanging="360"/>
        <w:contextualSpacing w:val="1"/>
        <w:jc w:val="left"/>
        <w:rPr>
          <w:rFonts w:ascii="Quicksand" w:cs="Quicksand" w:eastAsia="Quicksand" w:hAnsi="Quicksand"/>
          <w:sz w:val="24"/>
          <w:szCs w:val="24"/>
        </w:rPr>
      </w:pPr>
      <w:r w:rsidDel="00000000" w:rsidR="00000000" w:rsidRPr="00000000">
        <w:rPr>
          <w:rFonts w:ascii="Quicksand" w:cs="Quicksand" w:eastAsia="Quicksand" w:hAnsi="Quicksand"/>
          <w:b w:val="1"/>
          <w:sz w:val="24"/>
          <w:szCs w:val="24"/>
          <w:u w:val="single"/>
          <w:rtl w:val="0"/>
        </w:rPr>
        <w:t xml:space="preserve">Ibn Ezra (R. Avraham b. Ezra, Spain, 1089-1167), Devarim Ch. 34</w:t>
      </w:r>
    </w:p>
    <w:p w:rsidR="00000000" w:rsidDel="00000000" w:rsidP="00000000" w:rsidRDefault="00000000" w:rsidRPr="00000000">
      <w:pPr>
        <w:bidi w:val="1"/>
        <w:contextualSpacing w:val="0"/>
      </w:pPr>
      <w:r w:rsidDel="00000000" w:rsidR="00000000" w:rsidRPr="00000000">
        <w:rPr>
          <w:rtl w:val="0"/>
        </w:rPr>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ויעל</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משה</w:t>
      </w:r>
      <w:r w:rsidDel="00000000" w:rsidR="00000000" w:rsidRPr="00000000">
        <w:rPr>
          <w:rFonts w:ascii="Narkisim" w:cs="Narkisim" w:eastAsia="Narkisim" w:hAnsi="Narkisim"/>
          <w:sz w:val="26"/>
          <w:szCs w:val="26"/>
          <w:rtl w:val="1"/>
        </w:rPr>
        <w:t xml:space="preserve"> - </w:t>
      </w:r>
      <w:r w:rsidDel="00000000" w:rsidR="00000000" w:rsidRPr="00000000">
        <w:rPr>
          <w:rFonts w:ascii="Narkisim" w:cs="Narkisim" w:eastAsia="Narkisim" w:hAnsi="Narkisim"/>
          <w:sz w:val="26"/>
          <w:szCs w:val="26"/>
          <w:rtl w:val="1"/>
        </w:rPr>
        <w:t xml:space="preserve">לפי</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דעתי</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כי</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מזה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הפסוק</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כתב</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יהושע</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כי</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אחר</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שעלה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משה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לא</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כתב</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ובדרך</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נבואה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כתבו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ויראהו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גם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ויאמר</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אליו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גם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ויקבור</w:t>
      </w:r>
      <w:r w:rsidDel="00000000" w:rsidR="00000000" w:rsidRPr="00000000">
        <w:rPr>
          <w:rFonts w:ascii="Narkisim" w:cs="Narkisim" w:eastAsia="Narkisim" w:hAnsi="Narkisim"/>
          <w:sz w:val="26"/>
          <w:szCs w:val="26"/>
          <w:rtl w:val="1"/>
        </w:rPr>
        <w:t xml:space="preserve">:</w:t>
      </w: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Quicksand" w:cs="Quicksand" w:eastAsia="Quicksand" w:hAnsi="Quicksand"/>
          <w:sz w:val="24"/>
          <w:szCs w:val="24"/>
        </w:rPr>
      </w:pPr>
      <w:r w:rsidDel="00000000" w:rsidR="00000000" w:rsidRPr="00000000">
        <w:rPr>
          <w:rFonts w:ascii="Questrial" w:cs="Questrial" w:eastAsia="Questrial" w:hAnsi="Questrial"/>
          <w:b w:val="1"/>
          <w:i w:val="1"/>
          <w:sz w:val="24"/>
          <w:szCs w:val="24"/>
          <w:u w:val="single"/>
          <w:rtl w:val="0"/>
        </w:rPr>
        <w:t xml:space="preserve">Nefesh HaRav</w:t>
      </w:r>
      <w:r w:rsidDel="00000000" w:rsidR="00000000" w:rsidRPr="00000000">
        <w:rPr>
          <w:rFonts w:ascii="Questrial" w:cs="Questrial" w:eastAsia="Questrial" w:hAnsi="Questrial"/>
          <w:b w:val="1"/>
          <w:sz w:val="24"/>
          <w:szCs w:val="24"/>
          <w:u w:val="single"/>
          <w:rtl w:val="0"/>
        </w:rPr>
        <w:t xml:space="preserve"> (Rav Herschel Schachter), p. 322</w:t>
      </w:r>
      <w:r w:rsidDel="00000000" w:rsidR="00000000" w:rsidRPr="00000000">
        <w:rPr>
          <w:rtl w:val="0"/>
        </w:rPr>
      </w:r>
    </w:p>
    <w:p w:rsidR="00000000" w:rsidDel="00000000" w:rsidP="00000000" w:rsidRDefault="00000000" w:rsidRPr="00000000">
      <w:pPr>
        <w:bidi w:val="1"/>
        <w:ind w:left="0" w:firstLine="0"/>
        <w:contextualSpacing w:val="0"/>
        <w:jc w:val="center"/>
      </w:pPr>
      <w:r w:rsidDel="00000000" w:rsidR="00000000" w:rsidRPr="00000000">
        <w:drawing>
          <wp:inline distB="114300" distT="114300" distL="114300" distR="114300">
            <wp:extent cx="4616450" cy="3146825"/>
            <wp:effectExtent b="0" l="0" r="0" t="0"/>
            <wp:docPr id="1" name="image04.png"/>
            <a:graphic>
              <a:graphicData uri="http://schemas.openxmlformats.org/drawingml/2006/picture">
                <pic:pic>
                  <pic:nvPicPr>
                    <pic:cNvPr id="0" name="image04.png"/>
                    <pic:cNvPicPr preferRelativeResize="0"/>
                  </pic:nvPicPr>
                  <pic:blipFill>
                    <a:blip r:embed="rId7"/>
                    <a:srcRect b="0" l="0" r="0" t="0"/>
                    <a:stretch>
                      <a:fillRect/>
                    </a:stretch>
                  </pic:blipFill>
                  <pic:spPr>
                    <a:xfrm>
                      <a:off x="0" y="0"/>
                      <a:ext cx="4616450" cy="3146825"/>
                    </a:xfrm>
                    <a:prstGeom prst="rect"/>
                    <a:ln/>
                  </pic:spPr>
                </pic:pic>
              </a:graphicData>
            </a:graphic>
          </wp:inline>
        </w:drawing>
      </w:r>
      <w:r w:rsidDel="00000000" w:rsidR="00000000" w:rsidRPr="00000000">
        <w:drawing>
          <wp:inline distB="114300" distT="114300" distL="114300" distR="114300">
            <wp:extent cx="4610100" cy="2693356"/>
            <wp:effectExtent b="0" l="0" r="0" t="0"/>
            <wp:docPr id="2" name="image05.png"/>
            <a:graphic>
              <a:graphicData uri="http://schemas.openxmlformats.org/drawingml/2006/picture">
                <pic:pic>
                  <pic:nvPicPr>
                    <pic:cNvPr id="0" name="image05.png"/>
                    <pic:cNvPicPr preferRelativeResize="0"/>
                  </pic:nvPicPr>
                  <pic:blipFill>
                    <a:blip r:embed="rId8"/>
                    <a:srcRect b="0" l="0" r="0" t="0"/>
                    <a:stretch>
                      <a:fillRect/>
                    </a:stretch>
                  </pic:blipFill>
                  <pic:spPr>
                    <a:xfrm>
                      <a:off x="0" y="0"/>
                      <a:ext cx="4610100" cy="2693356"/>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Fonts w:ascii="Quicksand" w:cs="Quicksand" w:eastAsia="Quicksand" w:hAnsi="Quicksand"/>
          <w:b w:val="1"/>
          <w:sz w:val="24"/>
          <w:szCs w:val="24"/>
          <w:u w:val="single"/>
          <w:rtl w:val="0"/>
        </w:rPr>
        <w:t xml:space="preserve">Ibn Ezra (R. Avraham b. Ezra, Spain, 1089-1167), Devarim Ch. 1</w:t>
      </w:r>
      <w:r w:rsidDel="00000000" w:rsidR="00000000" w:rsidRPr="00000000">
        <w:rPr>
          <w:rtl w:val="0"/>
        </w:rPr>
      </w:r>
    </w:p>
    <w:p w:rsidR="00000000" w:rsidDel="00000000" w:rsidP="00000000" w:rsidRDefault="00000000" w:rsidRPr="00000000">
      <w:pPr>
        <w:bidi w:val="1"/>
        <w:contextualSpacing w:val="0"/>
      </w:pPr>
      <w:r w:rsidDel="00000000" w:rsidR="00000000" w:rsidRPr="00000000">
        <w:rPr>
          <w:rFonts w:ascii="Narkisim" w:cs="Narkisim" w:eastAsia="Narkisim" w:hAnsi="Narkisim"/>
          <w:sz w:val="26"/>
          <w:szCs w:val="26"/>
          <w:rtl w:val="1"/>
        </w:rPr>
        <w:t xml:space="preserve">ואם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תבין</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סוד</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השרים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צ</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השנים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עשר</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גם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ויכתוב</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משה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דברים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לא</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כב</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והכנעני</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אז</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בארץ</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ברא</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יב</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בהר</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ד</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יראה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שם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כב</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יד</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והנה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ערשו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ערש</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ברזל</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דברים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ג</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יא</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תכיר</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האמת</w:t>
      </w:r>
      <w:r w:rsidDel="00000000" w:rsidR="00000000" w:rsidRPr="00000000">
        <w:rPr>
          <w:rFonts w:ascii="Narkisim" w:cs="Narkisim" w:eastAsia="Narkisim" w:hAnsi="Narkisim"/>
          <w:sz w:val="26"/>
          <w:szCs w:val="26"/>
          <w:rtl w:val="1"/>
        </w:rPr>
        <w:t xml:space="preserve">.</w:t>
      </w:r>
    </w:p>
    <w:p w:rsidR="00000000" w:rsidDel="00000000" w:rsidP="00000000" w:rsidRDefault="00000000" w:rsidRPr="00000000">
      <w:pPr>
        <w:bidi w:val="1"/>
        <w:ind w:left="0" w:firstLine="0"/>
        <w:contextualSpacing w:val="0"/>
        <w:jc w:val="left"/>
      </w:pPr>
      <w:r w:rsidDel="00000000" w:rsidR="00000000" w:rsidRPr="00000000">
        <w:rPr>
          <w:rtl w:val="0"/>
        </w:rPr>
      </w:r>
    </w:p>
    <w:p w:rsidR="00000000" w:rsidDel="00000000" w:rsidP="00000000" w:rsidRDefault="00000000" w:rsidRPr="00000000">
      <w:pPr>
        <w:numPr>
          <w:ilvl w:val="0"/>
          <w:numId w:val="15"/>
        </w:numPr>
        <w:spacing w:after="0" w:lineRule="auto"/>
        <w:ind w:left="720" w:right="720" w:hanging="360"/>
        <w:rPr/>
      </w:pPr>
      <w:r w:rsidDel="00000000" w:rsidR="00000000" w:rsidRPr="00000000">
        <w:rPr>
          <w:rFonts w:ascii="Narkisim" w:cs="Narkisim" w:eastAsia="Narkisim" w:hAnsi="Narkisim"/>
          <w:b w:val="1"/>
          <w:sz w:val="26"/>
          <w:szCs w:val="26"/>
          <w:u w:val="single"/>
          <w:rtl w:val="0"/>
        </w:rPr>
        <w:t xml:space="preserve">Talmud Bavli, Gittin 60b</w:t>
      </w:r>
    </w:p>
    <w:p w:rsidR="00000000" w:rsidDel="00000000" w:rsidP="00000000" w:rsidRDefault="00000000" w:rsidRPr="00000000">
      <w:pPr>
        <w:bidi w:val="1"/>
        <w:spacing w:after="200" w:lineRule="auto"/>
        <w:ind w:right="720"/>
        <w:contextualSpacing w:val="0"/>
      </w:pP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יוחנן</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משום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רבי</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בנאה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תורה</w:t>
      </w:r>
      <w:r w:rsidDel="00000000" w:rsidR="00000000" w:rsidRPr="00000000">
        <w:rPr>
          <w:rFonts w:ascii="Narkisim" w:cs="Narkisim" w:eastAsia="Narkisim" w:hAnsi="Narkisim"/>
          <w:sz w:val="26"/>
          <w:szCs w:val="26"/>
          <w:rtl w:val="1"/>
        </w:rPr>
        <w:t xml:space="preserve"> - </w:t>
      </w:r>
      <w:r w:rsidDel="00000000" w:rsidR="00000000" w:rsidRPr="00000000">
        <w:rPr>
          <w:rFonts w:ascii="Narkisim" w:cs="Narkisim" w:eastAsia="Narkisim" w:hAnsi="Narkisim"/>
          <w:sz w:val="26"/>
          <w:szCs w:val="26"/>
          <w:rtl w:val="1"/>
        </w:rPr>
        <w:t xml:space="preserve">מגילה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מגילה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ניתנה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שנא</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תהלים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אז</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אמרתי</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הנה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באתי</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במגילת</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ספר</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כתוב</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עלי</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בן</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לקיש</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אומר</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תורה</w:t>
      </w:r>
      <w:r w:rsidDel="00000000" w:rsidR="00000000" w:rsidRPr="00000000">
        <w:rPr>
          <w:rFonts w:ascii="Narkisim" w:cs="Narkisim" w:eastAsia="Narkisim" w:hAnsi="Narkisim"/>
          <w:sz w:val="26"/>
          <w:szCs w:val="26"/>
          <w:rtl w:val="1"/>
        </w:rPr>
        <w:t xml:space="preserve"> - </w:t>
      </w:r>
      <w:r w:rsidDel="00000000" w:rsidR="00000000" w:rsidRPr="00000000">
        <w:rPr>
          <w:rFonts w:ascii="Narkisim" w:cs="Narkisim" w:eastAsia="Narkisim" w:hAnsi="Narkisim"/>
          <w:sz w:val="26"/>
          <w:szCs w:val="26"/>
          <w:rtl w:val="1"/>
        </w:rPr>
        <w:t xml:space="preserve">חתומה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ניתנה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שנאמר</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דברים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לקוח</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את</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ספר</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התורה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הזאת</w:t>
      </w:r>
      <w:r w:rsidDel="00000000" w:rsidR="00000000" w:rsidRPr="00000000">
        <w:rPr>
          <w:rFonts w:ascii="Narkisim" w:cs="Narkisim" w:eastAsia="Narkisim" w:hAnsi="Narkisim"/>
          <w:sz w:val="26"/>
          <w:szCs w:val="26"/>
          <w:rtl w:val="1"/>
        </w:rPr>
        <w:t xml:space="preserv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numPr>
          <w:ilvl w:val="0"/>
          <w:numId w:val="11"/>
        </w:numPr>
        <w:ind w:left="720" w:hanging="360"/>
        <w:contextualSpacing w:val="1"/>
        <w:rPr>
          <w:b w:val="1"/>
          <w:sz w:val="24"/>
          <w:szCs w:val="24"/>
        </w:rPr>
      </w:pPr>
      <w:r w:rsidDel="00000000" w:rsidR="00000000" w:rsidRPr="00000000">
        <w:rPr>
          <w:rFonts w:ascii="Quicksand" w:cs="Quicksand" w:eastAsia="Quicksand" w:hAnsi="Quicksand"/>
          <w:b w:val="1"/>
          <w:sz w:val="24"/>
          <w:szCs w:val="24"/>
          <w:u w:val="single"/>
          <w:rtl w:val="0"/>
        </w:rPr>
        <w:t xml:space="preserve">Rav Yaakov Weinberg (1923-1999), </w:t>
      </w:r>
      <w:r w:rsidDel="00000000" w:rsidR="00000000" w:rsidRPr="00000000">
        <w:rPr>
          <w:rFonts w:ascii="Quicksand" w:cs="Quicksand" w:eastAsia="Quicksand" w:hAnsi="Quicksand"/>
          <w:b w:val="1"/>
          <w:i w:val="1"/>
          <w:sz w:val="24"/>
          <w:szCs w:val="24"/>
          <w:u w:val="single"/>
          <w:rtl w:val="0"/>
        </w:rPr>
        <w:t xml:space="preserve">Fundamentals and Faith, p. 90-91</w:t>
      </w:r>
    </w:p>
    <w:p w:rsidR="00000000" w:rsidDel="00000000" w:rsidP="00000000" w:rsidRDefault="00000000" w:rsidRPr="00000000">
      <w:pPr>
        <w:contextualSpacing w:val="0"/>
      </w:pPr>
      <w:r w:rsidDel="00000000" w:rsidR="00000000" w:rsidRPr="00000000">
        <w:rPr>
          <w:rFonts w:ascii="Quicksand" w:cs="Quicksand" w:eastAsia="Quicksand" w:hAnsi="Quicksand"/>
          <w:sz w:val="24"/>
          <w:szCs w:val="24"/>
          <w:rtl w:val="0"/>
        </w:rPr>
        <w:t xml:space="preserve">Rambam knew very well that these variations existed when he defined his Principles. The words of Ani Ma’amin and the words of the Rambam, ‘the entire Torah in our possession today’, must not be taken literally, implying that all the letters of the present Torah are the exact letters given to Moshe Rabbeinu. Rather, it should be understood in a general sense that the Torah we learn and live by for all intents and purposes the same Torah that was given to Moshe Rabbeinu.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rFonts w:ascii="Quicksand" w:cs="Quicksand" w:eastAsia="Quicksand" w:hAnsi="Quicksand"/>
          <w:b w:val="1"/>
          <w:sz w:val="24"/>
          <w:szCs w:val="24"/>
          <w:u w:val="none"/>
        </w:rPr>
      </w:pPr>
      <w:r w:rsidDel="00000000" w:rsidR="00000000" w:rsidRPr="00000000">
        <w:rPr>
          <w:rFonts w:ascii="Quicksand" w:cs="Quicksand" w:eastAsia="Quicksand" w:hAnsi="Quicksand"/>
          <w:b w:val="1"/>
          <w:sz w:val="24"/>
          <w:szCs w:val="24"/>
          <w:u w:val="single"/>
          <w:rtl w:val="0"/>
        </w:rPr>
        <w:t xml:space="preserve">Pirkei Machshava (Rav Ezriel Tauber), p. 208</w:t>
      </w:r>
    </w:p>
    <w:p w:rsidR="00000000" w:rsidDel="00000000" w:rsidP="00000000" w:rsidRDefault="00000000" w:rsidRPr="00000000">
      <w:pPr>
        <w:contextualSpacing w:val="0"/>
        <w:jc w:val="center"/>
      </w:pPr>
      <w:r w:rsidDel="00000000" w:rsidR="00000000" w:rsidRPr="00000000">
        <w:drawing>
          <wp:inline distB="114300" distT="114300" distL="114300" distR="114300">
            <wp:extent cx="4324350" cy="4143375"/>
            <wp:effectExtent b="0" l="0" r="0" t="0"/>
            <wp:docPr id="3" name="image06.png"/>
            <a:graphic>
              <a:graphicData uri="http://schemas.openxmlformats.org/drawingml/2006/picture">
                <pic:pic>
                  <pic:nvPicPr>
                    <pic:cNvPr id="0" name="image06.png"/>
                    <pic:cNvPicPr preferRelativeResize="0"/>
                  </pic:nvPicPr>
                  <pic:blipFill>
                    <a:blip r:embed="rId9"/>
                    <a:srcRect b="0" l="0" r="0" t="0"/>
                    <a:stretch>
                      <a:fillRect/>
                    </a:stretch>
                  </pic:blipFill>
                  <pic:spPr>
                    <a:xfrm>
                      <a:off x="0" y="0"/>
                      <a:ext cx="4324350" cy="41433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10"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Narkisim"/>
  <w:font w:name="Quicksand">
    <w:embedRegular w:fontKey="{00000000-0000-0000-0000-000000000000}" r:id="rId1" w:subsetted="0"/>
    <w:embedBold w:fontKey="{00000000-0000-0000-0000-000000000000}" r:id="rId2" w:subsetted="0"/>
  </w:font>
  <w:font w:name="Questrial">
    <w:embedRegular w:fontKey="{00000000-0000-0000-0000-000000000000}" r:id="rId3"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18"/>
          <w:szCs w:val="18"/>
          <w:rtl w:val="0"/>
        </w:rPr>
        <w:t xml:space="preserve"> Rabbi Eliyahu Touger translation (</w:t>
      </w:r>
      <w:hyperlink r:id="rId1">
        <w:r w:rsidDel="00000000" w:rsidR="00000000" w:rsidRPr="00000000">
          <w:rPr>
            <w:color w:val="1155cc"/>
            <w:sz w:val="18"/>
            <w:szCs w:val="18"/>
            <w:u w:val="single"/>
            <w:rtl w:val="0"/>
          </w:rPr>
          <w:t xml:space="preserve">https://www.amazon.ca/Pirkei-Avot-Shemona-Thirteen-Principles/dp/094011898X</w:t>
        </w:r>
      </w:hyperlink>
      <w:r w:rsidDel="00000000" w:rsidR="00000000" w:rsidRPr="00000000">
        <w:rPr>
          <w:sz w:val="18"/>
          <w:szCs w:val="18"/>
          <w:rtl w:val="0"/>
        </w:rPr>
        <w:t xml:space="preserve">) </w:t>
      </w:r>
    </w:p>
  </w:footnote>
  <w:footnote w:id="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I.e., Moses did not hear God talking as one hears another human being. Nevertheless, the term speech serves as an appropriate metaphor for the communication of the Torah’s wisdom to him.</w:t>
      </w:r>
    </w:p>
  </w:footnote>
  <w:footnote w:id="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Bamidbar 15:31</w:t>
      </w:r>
    </w:p>
  </w:footnote>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Following the </w:t>
      </w:r>
      <w:r w:rsidDel="00000000" w:rsidR="00000000" w:rsidRPr="00000000">
        <w:rPr>
          <w:i w:val="1"/>
          <w:sz w:val="18"/>
          <w:szCs w:val="18"/>
          <w:rtl w:val="0"/>
        </w:rPr>
        <w:t xml:space="preserve">Koren Sacks Siddur </w:t>
      </w:r>
      <w:r w:rsidDel="00000000" w:rsidR="00000000" w:rsidRPr="00000000">
        <w:rPr>
          <w:sz w:val="18"/>
          <w:szCs w:val="18"/>
          <w:rtl w:val="0"/>
        </w:rPr>
        <w:t xml:space="preserve">(Jerusalem, 2009), pp. 204-205</w:t>
      </w:r>
    </w:p>
  </w:footnote>
  <w:footnote w:id="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Talmud Bavli, Sanhedrin 99a</w:t>
      </w:r>
    </w:p>
  </w:footnote>
  <w:footnote w:id="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“It is possible that some of the scholars we have quoted understood this passage as condemning, not the denial of the complete Mosaic authorship, but the denial of divine inspiration. That is, what the Talmud regards as heresy is the assertion that Moses composed the Torah on his own, without receiving it from God. Yet once the Torah’s divinity is acknowledged, it is not heretical to posit that some verses were revealed to post-Mosaic prophets. Indeed, the Mishnah includes in its lists of heretics ‘he who says that the Torah is not from Heaven’. In other words, the stress is on the divine origin of the Torah, not on whether Moses alone received the revelation.” (</w:t>
      </w:r>
      <w:r w:rsidDel="00000000" w:rsidR="00000000" w:rsidRPr="00000000">
        <w:rPr>
          <w:i w:val="1"/>
          <w:sz w:val="18"/>
          <w:szCs w:val="18"/>
          <w:rtl w:val="0"/>
        </w:rPr>
        <w:t xml:space="preserve">The Limits of Orthodox Theology, </w:t>
      </w:r>
      <w:r w:rsidDel="00000000" w:rsidR="00000000" w:rsidRPr="00000000">
        <w:rPr>
          <w:sz w:val="18"/>
          <w:szCs w:val="18"/>
          <w:rtl w:val="0"/>
        </w:rPr>
        <w:t xml:space="preserve">pgs. 112-113)</w:t>
      </w:r>
    </w:p>
  </w:footnote>
  <w:footnote w:id="6">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18"/>
          <w:szCs w:val="18"/>
          <w:rtl w:val="0"/>
        </w:rPr>
        <w:t xml:space="preserve"> Talmud Bavli, Pesachim 112a</w:t>
      </w:r>
    </w:p>
  </w:footnote>
  <w:footnote w:id="7">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18"/>
          <w:szCs w:val="18"/>
          <w:rtl w:val="0"/>
        </w:rPr>
        <w:t xml:space="preserve"> Bereishit Rabbah 9:5, 20:12, 94:9</w:t>
      </w:r>
    </w:p>
  </w:footnote>
  <w:footnote w:id="8">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Moreh Nevukhim III, 10: The book which enlightened the darkness of the world says therefore, "And God saw everything that He had made, and, behold, it was very good" (Gen. i. 31). Even the existence of this corporeal element, low as it in reality is, because it is the source of death and all evils, is likewise good for the permanence of the Universe and the continuation of the order of things, so that one thing departs and the other succeeds. </w:t>
      </w:r>
      <w:r w:rsidDel="00000000" w:rsidR="00000000" w:rsidRPr="00000000">
        <w:rPr>
          <w:b w:val="1"/>
          <w:sz w:val="18"/>
          <w:szCs w:val="18"/>
          <w:rtl w:val="0"/>
        </w:rPr>
        <w:t xml:space="preserve">Rabbi Meir therefore explains the words "and behold it was very good" (tob me’od); that even death was good in accordance with what we have observed in this chapter.</w:t>
      </w:r>
    </w:p>
  </w:footnote>
  <w:footnote w:id="9">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Quicksand" w:cs="Quicksand" w:eastAsia="Quicksand" w:hAnsi="Quicksand"/>
        <w:rtl w:val="0"/>
      </w:rPr>
      <w:t xml:space="preserve">Rabbi Ephraim Kleinberg                                                                                              </w:t>
    </w:r>
    <w:r w:rsidDel="00000000" w:rsidR="00000000" w:rsidRPr="00000000">
      <w:rPr>
        <w:rtl w:val="0"/>
      </w:rPr>
    </w:r>
    <w:r w:rsidDel="00000000" w:rsidR="00000000" w:rsidRPr="00000000">
      <w:rPr>
        <w:rFonts w:ascii="Narkisim" w:cs="Narkisim" w:eastAsia="Narkisim" w:hAnsi="Narkisim"/>
        <w:sz w:val="26"/>
        <w:szCs w:val="26"/>
        <w:rtl w:val="0"/>
      </w:rPr>
      <w:t xml:space="preserve">  </w:t>
    </w:r>
    <w:r w:rsidDel="00000000" w:rsidR="00000000" w:rsidRPr="00000000">
      <w:rPr>
        <w:rFonts w:ascii="Narkisim" w:cs="Narkisim" w:eastAsia="Narkisim" w:hAnsi="Narkisim"/>
        <w:sz w:val="26"/>
        <w:szCs w:val="26"/>
        <w:rtl w:val="1"/>
      </w:rPr>
      <w:t xml:space="preserve">פרשת</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יתרו</w:t>
    </w:r>
    <w:r w:rsidDel="00000000" w:rsidR="00000000" w:rsidRPr="00000000">
      <w:rPr>
        <w:rFonts w:ascii="Narkisim" w:cs="Narkisim" w:eastAsia="Narkisim" w:hAnsi="Narkisim"/>
        <w:sz w:val="26"/>
        <w:szCs w:val="26"/>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6"/>
      <w:numFmt w:val="decimal"/>
      <w:lvlText w:val="%1."/>
      <w:lvlJc w:val="left"/>
      <w:pPr>
        <w:ind w:left="1440" w:firstLine="1080"/>
      </w:pPr>
      <w:rPr>
        <w:rFonts w:ascii="Quicksand" w:cs="Quicksand" w:eastAsia="Quicksand" w:hAnsi="Quicksand"/>
        <w:b w:val="1"/>
        <w:sz w:val="24"/>
        <w:szCs w:val="24"/>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lvl w:ilvl="0">
      <w:start w:val="1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8"/>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4"/>
      <w:numFmt w:val="decimal"/>
      <w:lvlText w:val="%1."/>
      <w:lvlJc w:val="left"/>
      <w:pPr>
        <w:ind w:left="720" w:firstLine="360"/>
      </w:pPr>
      <w:rPr>
        <w:b w:val="1"/>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9"/>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3"/>
      <w:numFmt w:val="decimal"/>
      <w:lvlText w:val="%1."/>
      <w:lvlJc w:val="left"/>
      <w:pPr>
        <w:ind w:left="720" w:firstLine="360"/>
      </w:pPr>
      <w:rPr>
        <w:b w:val="1"/>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lvl w:ilvl="0">
      <w:start w:val="18"/>
      <w:numFmt w:val="decimal"/>
      <w:lvlText w:val="%1."/>
      <w:lvlJc w:val="left"/>
      <w:pPr>
        <w:ind w:left="720" w:firstLine="360"/>
      </w:pPr>
      <w:rPr>
        <w:rFonts w:ascii="Quicksand" w:cs="Quicksand" w:eastAsia="Quicksand" w:hAnsi="Quicksand"/>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lvl w:ilvl="0">
      <w:start w:val="1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lvl w:ilvl="0">
      <w:start w:val="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lvl w:ilvl="0">
      <w:start w:val="17"/>
      <w:numFmt w:val="decimal"/>
      <w:lvlText w:val="%1."/>
      <w:lvlJc w:val="left"/>
      <w:pPr>
        <w:ind w:left="720" w:firstLine="360"/>
      </w:pPr>
      <w:rPr>
        <w:rFonts w:ascii="Quicksand" w:cs="Quicksand" w:eastAsia="Quicksand" w:hAnsi="Quicksand"/>
        <w:b w:val="1"/>
        <w:sz w:val="24"/>
        <w:szCs w:val="24"/>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06.png"/><Relationship Id="rId5" Type="http://schemas.openxmlformats.org/officeDocument/2006/relationships/styles" Target="styles.xml"/><Relationship Id="rId6" Type="http://schemas.openxmlformats.org/officeDocument/2006/relationships/image" Target="media/image07.png"/><Relationship Id="rId7" Type="http://schemas.openxmlformats.org/officeDocument/2006/relationships/image" Target="media/image04.png"/><Relationship Id="rId8" Type="http://schemas.openxmlformats.org/officeDocument/2006/relationships/image" Target="media/image05.png"/></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estrial-regular.ttf"/></Relationships>
</file>

<file path=word/_rels/footnotes.xml.rels><?xml version="1.0" encoding="UTF-8" standalone="yes"?><Relationships xmlns="http://schemas.openxmlformats.org/package/2006/relationships"><Relationship Id="rId1" Type="http://schemas.openxmlformats.org/officeDocument/2006/relationships/hyperlink" Target="https://www.amazon.ca/Pirkei-Avot-Shemona-Thirteen-Principles/dp/094011898X" TargetMode="External"/></Relationships>
</file>