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460B" w14:textId="74D30BE7" w:rsidR="00CE4B0B" w:rsidRPr="00F977B4" w:rsidRDefault="00A7649B" w:rsidP="00F977B4">
      <w:pPr>
        <w:autoSpaceDE w:val="0"/>
        <w:autoSpaceDN w:val="0"/>
        <w:bidi/>
        <w:adjustRightInd w:val="0"/>
        <w:jc w:val="both"/>
        <w:rPr>
          <w:rtl/>
          <w:lang w:bidi="he-IL"/>
        </w:rPr>
      </w:pPr>
      <w:r w:rsidRPr="00F977B4">
        <w:rPr>
          <w:b/>
          <w:bCs/>
          <w:u w:val="single"/>
          <w:rtl/>
          <w:lang w:bidi="he-IL"/>
        </w:rPr>
        <w:t>(</w:t>
      </w:r>
      <w:r w:rsidR="00E2031B">
        <w:rPr>
          <w:rFonts w:hint="cs"/>
          <w:b/>
          <w:bCs/>
          <w:u w:val="single"/>
          <w:rtl/>
          <w:lang w:bidi="he-IL"/>
        </w:rPr>
        <w:t>1</w:t>
      </w:r>
      <w:r w:rsidRPr="00F977B4">
        <w:rPr>
          <w:b/>
          <w:bCs/>
          <w:u w:val="single"/>
          <w:rtl/>
          <w:lang w:bidi="he-IL"/>
        </w:rPr>
        <w:t xml:space="preserve">) </w:t>
      </w:r>
      <w:r w:rsidR="00CE4B0B" w:rsidRPr="00F977B4">
        <w:rPr>
          <w:b/>
          <w:bCs/>
          <w:u w:val="single"/>
          <w:rtl/>
          <w:lang w:bidi="he-IL"/>
        </w:rPr>
        <w:t xml:space="preserve">שו"ת אגרות משה חלק יו"ד א סימן ס </w:t>
      </w:r>
    </w:p>
    <w:p w14:paraId="510DE9DD" w14:textId="77777777" w:rsidR="00CE4B0B" w:rsidRPr="00F977B4" w:rsidRDefault="00CE4B0B" w:rsidP="00F977B4">
      <w:pPr>
        <w:autoSpaceDE w:val="0"/>
        <w:autoSpaceDN w:val="0"/>
        <w:bidi/>
        <w:adjustRightInd w:val="0"/>
        <w:jc w:val="both"/>
        <w:rPr>
          <w:rtl/>
          <w:lang w:bidi="he-IL"/>
        </w:rPr>
      </w:pPr>
      <w:r w:rsidRPr="00F977B4">
        <w:rPr>
          <w:rtl/>
          <w:lang w:bidi="he-IL"/>
        </w:rPr>
        <w:t>... ולכן ניחא מה שכלי שתשמישו ע"י האור אף באופן שלא היו ניצוצות ניתזין מהם נמי צריך ליבון שיהיו ניצוצות ניתזין דלא נמצא הדין דכדרך תשמישן שבלעו כך פולטין אלא בהגעלה באו"ח סי' תנ"א סעי' ה' וביו"ד ר"ס קכ"א ולא בנשתמש ע"י האור שצריך ליבון שהוא בסי' תנ"א סעי' ד' לא הוזכר שיהיה הליבון כדרך התשמיש אלא סתם שהליבון הוא עד שיהיו ניצוצות ניתזין משמע בכל תשמיש שהיה בלא מים צריך ליבון כזה דוקא והוא משום דליבון אינו פולט אלא שורף...</w:t>
      </w:r>
    </w:p>
    <w:p w14:paraId="1DD1A345" w14:textId="77777777" w:rsidR="00CE4B0B" w:rsidRPr="00F977B4" w:rsidRDefault="00CE4B0B" w:rsidP="00F977B4">
      <w:pPr>
        <w:bidi/>
        <w:jc w:val="both"/>
        <w:rPr>
          <w:rtl/>
          <w:lang w:bidi="he-IL"/>
        </w:rPr>
      </w:pPr>
    </w:p>
    <w:p w14:paraId="0E715BB2" w14:textId="46BF0CCF" w:rsidR="00CE4B0B" w:rsidRPr="00F977B4" w:rsidRDefault="00A7649B" w:rsidP="00F977B4">
      <w:pPr>
        <w:autoSpaceDE w:val="0"/>
        <w:autoSpaceDN w:val="0"/>
        <w:bidi/>
        <w:adjustRightInd w:val="0"/>
        <w:jc w:val="both"/>
        <w:rPr>
          <w:rtl/>
          <w:lang w:bidi="he-IL"/>
        </w:rPr>
      </w:pPr>
      <w:r w:rsidRPr="00F977B4">
        <w:rPr>
          <w:b/>
          <w:bCs/>
          <w:u w:val="single"/>
          <w:rtl/>
          <w:lang w:bidi="he-IL"/>
        </w:rPr>
        <w:t>(</w:t>
      </w:r>
      <w:r w:rsidR="00E2031B">
        <w:rPr>
          <w:rFonts w:hint="cs"/>
          <w:b/>
          <w:bCs/>
          <w:u w:val="single"/>
          <w:rtl/>
          <w:lang w:bidi="he-IL"/>
        </w:rPr>
        <w:t>2</w:t>
      </w:r>
      <w:r w:rsidRPr="00F977B4">
        <w:rPr>
          <w:b/>
          <w:bCs/>
          <w:u w:val="single"/>
          <w:rtl/>
          <w:lang w:bidi="he-IL"/>
        </w:rPr>
        <w:t xml:space="preserve">) </w:t>
      </w:r>
      <w:r w:rsidR="00CE4B0B" w:rsidRPr="00F977B4">
        <w:rPr>
          <w:b/>
          <w:bCs/>
          <w:u w:val="single"/>
          <w:rtl/>
          <w:lang w:bidi="he-IL"/>
        </w:rPr>
        <w:t xml:space="preserve">שו"ת מנחת יצחק חלק ג סימן סו </w:t>
      </w:r>
    </w:p>
    <w:p w14:paraId="2DD77609" w14:textId="77777777" w:rsidR="00615CEB" w:rsidRPr="00F977B4" w:rsidRDefault="00615CEB" w:rsidP="00F977B4">
      <w:pPr>
        <w:autoSpaceDE w:val="0"/>
        <w:autoSpaceDN w:val="0"/>
        <w:bidi/>
        <w:adjustRightInd w:val="0"/>
        <w:jc w:val="both"/>
        <w:rPr>
          <w:rtl/>
          <w:lang w:bidi="he-IL"/>
        </w:rPr>
      </w:pPr>
      <w:r w:rsidRPr="00F977B4">
        <w:rPr>
          <w:rtl/>
          <w:lang w:bidi="he-IL"/>
        </w:rPr>
        <w:t xml:space="preserve">בנדון הגעלת תנור חשמלי... </w:t>
      </w:r>
    </w:p>
    <w:p w14:paraId="3DD7FDDA" w14:textId="77777777" w:rsidR="00F977B4" w:rsidRDefault="00CE4B0B" w:rsidP="00F977B4">
      <w:pPr>
        <w:autoSpaceDE w:val="0"/>
        <w:autoSpaceDN w:val="0"/>
        <w:bidi/>
        <w:adjustRightInd w:val="0"/>
        <w:jc w:val="both"/>
        <w:rPr>
          <w:rFonts w:hint="cs"/>
          <w:rtl/>
          <w:lang w:bidi="he-IL"/>
        </w:rPr>
      </w:pPr>
      <w:r w:rsidRPr="00F977B4">
        <w:rPr>
          <w:rtl/>
          <w:lang w:bidi="he-IL"/>
        </w:rPr>
        <w:t>(א) והנה כת"ה האריך בביאור הלכה זו היטב מש"ס ופוסקים, אם בלבון הדין כמו בהגעלה ברותחין, דאמרינן דכפי תשמישן כך הכשירן, כן בלבון צריך להיות מעיקר הדין, רק כפי מדת החום שמשתמשין בו ע"י האור, או דבלבון לא נתנו הדברים לשיעורין, וכל שתשמישו ע"י האור בלי אמצעי משקה, צריך ליבון של ניצוצות נתזין ממנו, וכי י"ל דתלי' בטעם הלבון, אם הוי מטעם שמפליט הגיעול הבלוע, כמו פעולת ההגעל' ברותחין, או שהוא משום ששורף ומכלה את האיסור הבלוע ...</w:t>
      </w:r>
      <w:r w:rsidR="00F977B4">
        <w:rPr>
          <w:rFonts w:hint="cs"/>
          <w:rtl/>
          <w:lang w:bidi="he-IL"/>
        </w:rPr>
        <w:t xml:space="preserve"> </w:t>
      </w:r>
      <w:r w:rsidR="00615CEB" w:rsidRPr="00F977B4">
        <w:rPr>
          <w:rtl/>
          <w:lang w:bidi="he-IL"/>
        </w:rPr>
        <w:t>הרי שוב באנו בזה לפלוגתת הפוסקים</w:t>
      </w:r>
      <w:r w:rsidR="00F977B4">
        <w:rPr>
          <w:rFonts w:hint="cs"/>
          <w:rtl/>
          <w:lang w:bidi="he-IL"/>
        </w:rPr>
        <w:t xml:space="preserve"> ...</w:t>
      </w:r>
    </w:p>
    <w:p w14:paraId="22327215" w14:textId="77777777" w:rsidR="00615CEB" w:rsidRPr="00F977B4" w:rsidRDefault="00615CEB" w:rsidP="00F977B4">
      <w:pPr>
        <w:autoSpaceDE w:val="0"/>
        <w:autoSpaceDN w:val="0"/>
        <w:bidi/>
        <w:adjustRightInd w:val="0"/>
        <w:jc w:val="both"/>
        <w:rPr>
          <w:lang w:bidi="he-IL"/>
        </w:rPr>
      </w:pPr>
    </w:p>
    <w:p w14:paraId="044F59F6" w14:textId="0A78CED9" w:rsidR="00104022" w:rsidRPr="00F977B4" w:rsidRDefault="004905B7" w:rsidP="00F977B4">
      <w:pPr>
        <w:autoSpaceDE w:val="0"/>
        <w:autoSpaceDN w:val="0"/>
        <w:bidi/>
        <w:adjustRightInd w:val="0"/>
        <w:jc w:val="both"/>
        <w:rPr>
          <w:rtl/>
          <w:lang w:bidi="he-IL"/>
        </w:rPr>
      </w:pPr>
      <w:r w:rsidRPr="00F977B4">
        <w:rPr>
          <w:b/>
          <w:bCs/>
          <w:u w:val="single"/>
          <w:rtl/>
          <w:lang w:bidi="he-IL"/>
        </w:rPr>
        <w:t>(</w:t>
      </w:r>
      <w:r w:rsidR="00E2031B">
        <w:rPr>
          <w:rFonts w:hint="cs"/>
          <w:b/>
          <w:bCs/>
          <w:u w:val="single"/>
          <w:rtl/>
          <w:lang w:bidi="he-IL"/>
        </w:rPr>
        <w:t>3</w:t>
      </w:r>
      <w:r w:rsidRPr="00F977B4">
        <w:rPr>
          <w:b/>
          <w:bCs/>
          <w:u w:val="single"/>
          <w:rtl/>
          <w:lang w:bidi="he-IL"/>
        </w:rPr>
        <w:t xml:space="preserve">) </w:t>
      </w:r>
      <w:r w:rsidR="00104022" w:rsidRPr="00F977B4">
        <w:rPr>
          <w:b/>
          <w:bCs/>
          <w:u w:val="single"/>
          <w:rtl/>
          <w:lang w:bidi="he-IL"/>
        </w:rPr>
        <w:t xml:space="preserve">שו"ת יחווה דעת חלק ב סימן סג </w:t>
      </w:r>
    </w:p>
    <w:p w14:paraId="733AED09" w14:textId="77777777" w:rsidR="00104022" w:rsidRPr="00F977B4" w:rsidRDefault="00104022" w:rsidP="00F977B4">
      <w:pPr>
        <w:autoSpaceDE w:val="0"/>
        <w:autoSpaceDN w:val="0"/>
        <w:bidi/>
        <w:adjustRightInd w:val="0"/>
        <w:jc w:val="both"/>
        <w:rPr>
          <w:rtl/>
          <w:lang w:bidi="he-IL"/>
        </w:rPr>
      </w:pPr>
      <w:r w:rsidRPr="00F977B4">
        <w:rPr>
          <w:rtl/>
          <w:lang w:bidi="he-IL"/>
        </w:rPr>
        <w:t xml:space="preserve">שאלה: האם אפשר להכשיר תנור אפיה חשמלי, או תנור של גאז, על ידי הסקתם בזמן מסויים, כדי שיהיה אפשר להשתמש בהם בפסח? </w:t>
      </w:r>
    </w:p>
    <w:p w14:paraId="36A454BA" w14:textId="77777777" w:rsidR="00104022" w:rsidRPr="00F977B4" w:rsidRDefault="00104022" w:rsidP="00F977B4">
      <w:pPr>
        <w:autoSpaceDE w:val="0"/>
        <w:autoSpaceDN w:val="0"/>
        <w:bidi/>
        <w:adjustRightInd w:val="0"/>
        <w:jc w:val="both"/>
        <w:rPr>
          <w:rtl/>
          <w:lang w:bidi="he-IL"/>
        </w:rPr>
      </w:pPr>
      <w:r w:rsidRPr="00F977B4">
        <w:rPr>
          <w:rtl/>
          <w:lang w:bidi="he-IL"/>
        </w:rPr>
        <w:t>תשובה: הנה מרן השלחן ערוך (/או"ח/ סימן תנא סעיף ד) פסק: כלים שמשתמשים בהם על ידי האור, כגון שפודים ואסכלאות וכיוצא בהם, צריכים ליבון להכשירם לפסח, והליבון הוא עד שיהיו ניצוצות ניתזים מהם...</w:t>
      </w:r>
    </w:p>
    <w:p w14:paraId="5953311F" w14:textId="77777777" w:rsidR="00104022" w:rsidRPr="00F977B4" w:rsidRDefault="00104022" w:rsidP="00F977B4">
      <w:pPr>
        <w:autoSpaceDE w:val="0"/>
        <w:autoSpaceDN w:val="0"/>
        <w:bidi/>
        <w:adjustRightInd w:val="0"/>
        <w:jc w:val="both"/>
        <w:rPr>
          <w:rtl/>
          <w:lang w:bidi="he-IL"/>
        </w:rPr>
      </w:pPr>
      <w:r w:rsidRPr="00F977B4">
        <w:rPr>
          <w:rtl/>
          <w:lang w:bidi="he-IL"/>
        </w:rPr>
        <w:t xml:space="preserve">אולם יש מקום לומר שהואיל והאפיה נעשית בתוך תבניות, ואותם נוהגים להחליפם בפסח בתבניות אחרות, וההיסק של התנור הוא רק להסיר זיעת החמץ הבלועה בדפנות התנור, או מפני שלפעמים נוגע החמץ בדפנות התנור, לפיכך יש לומר בזה כבולעו כך פולטו, וכשם שבלע על ידי היסק, כך יפלוט על ידי היסק במדת חום הגבוהה ביותר... </w:t>
      </w:r>
    </w:p>
    <w:p w14:paraId="67904C06" w14:textId="77777777" w:rsidR="00104022" w:rsidRPr="00F977B4" w:rsidRDefault="00104022" w:rsidP="00F977B4">
      <w:pPr>
        <w:autoSpaceDE w:val="0"/>
        <w:autoSpaceDN w:val="0"/>
        <w:bidi/>
        <w:adjustRightInd w:val="0"/>
        <w:jc w:val="both"/>
        <w:rPr>
          <w:lang w:bidi="he-IL"/>
        </w:rPr>
      </w:pPr>
    </w:p>
    <w:p w14:paraId="4D2CD6A1" w14:textId="4E917E2B" w:rsidR="00AB756E" w:rsidRPr="00F977B4" w:rsidRDefault="00F977B4" w:rsidP="00F977B4">
      <w:pPr>
        <w:autoSpaceDE w:val="0"/>
        <w:autoSpaceDN w:val="0"/>
        <w:bidi/>
        <w:adjustRightInd w:val="0"/>
        <w:jc w:val="both"/>
        <w:rPr>
          <w:rtl/>
          <w:lang w:bidi="he-IL"/>
        </w:rPr>
      </w:pPr>
      <w:r w:rsidRPr="00F977B4">
        <w:rPr>
          <w:b/>
          <w:bCs/>
          <w:u w:val="single"/>
          <w:rtl/>
          <w:lang w:bidi="he-IL"/>
        </w:rPr>
        <w:t>(</w:t>
      </w:r>
      <w:r w:rsidR="00E2031B">
        <w:rPr>
          <w:rFonts w:hint="cs"/>
          <w:b/>
          <w:bCs/>
          <w:u w:val="single"/>
          <w:rtl/>
          <w:lang w:bidi="he-IL"/>
        </w:rPr>
        <w:t>4</w:t>
      </w:r>
      <w:r w:rsidRPr="00F977B4">
        <w:rPr>
          <w:b/>
          <w:bCs/>
          <w:u w:val="single"/>
          <w:rtl/>
          <w:lang w:bidi="he-IL"/>
        </w:rPr>
        <w:t xml:space="preserve">) </w:t>
      </w:r>
      <w:r w:rsidR="00AB756E" w:rsidRPr="00F977B4">
        <w:rPr>
          <w:b/>
          <w:bCs/>
          <w:u w:val="single"/>
          <w:rtl/>
          <w:lang w:bidi="he-IL"/>
        </w:rPr>
        <w:t xml:space="preserve">תשובות </w:t>
      </w:r>
      <w:proofErr w:type="spellStart"/>
      <w:r w:rsidR="00AB756E" w:rsidRPr="00F977B4">
        <w:rPr>
          <w:b/>
          <w:bCs/>
          <w:u w:val="single"/>
          <w:rtl/>
          <w:lang w:bidi="he-IL"/>
        </w:rPr>
        <w:t>מיימוניות</w:t>
      </w:r>
      <w:proofErr w:type="spellEnd"/>
      <w:r w:rsidR="00AB756E" w:rsidRPr="00F977B4">
        <w:rPr>
          <w:b/>
          <w:bCs/>
          <w:u w:val="single"/>
          <w:rtl/>
          <w:lang w:bidi="he-IL"/>
        </w:rPr>
        <w:t xml:space="preserve"> קדושה סימן ה - מאכלות אסורות </w:t>
      </w:r>
    </w:p>
    <w:p w14:paraId="4C32C49D" w14:textId="77777777" w:rsidR="00AB756E" w:rsidRPr="00F977B4" w:rsidRDefault="00F977B4" w:rsidP="00F977B4">
      <w:pPr>
        <w:autoSpaceDE w:val="0"/>
        <w:autoSpaceDN w:val="0"/>
        <w:bidi/>
        <w:adjustRightInd w:val="0"/>
        <w:jc w:val="both"/>
        <w:rPr>
          <w:rtl/>
          <w:lang w:bidi="he-IL"/>
        </w:rPr>
      </w:pPr>
      <w:r>
        <w:rPr>
          <w:rFonts w:hint="cs"/>
          <w:rtl/>
          <w:lang w:bidi="he-IL"/>
        </w:rPr>
        <w:t xml:space="preserve">... </w:t>
      </w:r>
      <w:r w:rsidR="00AB756E" w:rsidRPr="00F977B4">
        <w:rPr>
          <w:rtl/>
          <w:lang w:bidi="he-IL"/>
        </w:rPr>
        <w:t>השיב ר"י ב"ר שמואל מדנפי"ר</w:t>
      </w:r>
      <w:r>
        <w:rPr>
          <w:rFonts w:hint="cs"/>
          <w:rtl/>
          <w:lang w:bidi="he-IL"/>
        </w:rPr>
        <w:t xml:space="preserve"> ... </w:t>
      </w:r>
      <w:r w:rsidR="00AB756E" w:rsidRPr="00F977B4">
        <w:rPr>
          <w:rtl/>
          <w:lang w:bidi="he-IL"/>
        </w:rPr>
        <w:t>הילכך גבי פלדוני"ר ופשטיד"א אפילו לא הוסק יפה כדי השרת קליפה מהני שהרי רגילין לחזור ולחממו כשרוצים לחזור ולאפות ונאמר כבולעו כך פולטו כי היכי דסגי לן בהסקת תנור אע"ג דידוע דלא הוי כולי האי כמה חזרה לכבשנות.</w:t>
      </w:r>
      <w:r w:rsidR="0063125C" w:rsidRPr="00F977B4">
        <w:rPr>
          <w:rtl/>
          <w:lang w:bidi="he-IL"/>
        </w:rPr>
        <w:t xml:space="preserve">.. </w:t>
      </w:r>
      <w:r w:rsidR="00AB756E" w:rsidRPr="00F977B4">
        <w:rPr>
          <w:rtl/>
          <w:lang w:bidi="he-IL"/>
        </w:rPr>
        <w:t>ושאלתי לאלמנת דודי ר"י</w:t>
      </w:r>
      <w:r w:rsidR="003C0498" w:rsidRPr="00F977B4">
        <w:rPr>
          <w:rtl/>
          <w:lang w:bidi="he-IL"/>
        </w:rPr>
        <w:t xml:space="preserve"> </w:t>
      </w:r>
      <w:r w:rsidR="00AB756E" w:rsidRPr="00F977B4">
        <w:rPr>
          <w:rtl/>
          <w:lang w:bidi="he-IL"/>
        </w:rPr>
        <w:t>ואמרה שבעלה לא היה מוחה בידם והיו אופין תחת מחבת אחת פשטיד"א אחר פלדו"ן אך היו מסיקין רק כדרך האופים. וכן נוהגין בבית רבינו מאיר זקני ובבית מרת מרים בת בתו של רבינו שלמה</w:t>
      </w:r>
      <w:r>
        <w:rPr>
          <w:rFonts w:hint="cs"/>
          <w:rtl/>
          <w:lang w:bidi="he-IL"/>
        </w:rPr>
        <w:t xml:space="preserve"> </w:t>
      </w:r>
      <w:r w:rsidR="00AB756E" w:rsidRPr="00F977B4">
        <w:rPr>
          <w:rtl/>
          <w:lang w:bidi="he-IL"/>
        </w:rPr>
        <w:t>.</w:t>
      </w:r>
      <w:r>
        <w:rPr>
          <w:rFonts w:hint="cs"/>
          <w:rtl/>
          <w:lang w:bidi="he-IL"/>
        </w:rPr>
        <w:t xml:space="preserve">.. </w:t>
      </w:r>
      <w:r w:rsidR="00AB756E" w:rsidRPr="00F977B4">
        <w:rPr>
          <w:rtl/>
          <w:lang w:bidi="he-IL"/>
        </w:rPr>
        <w:t>אבל מרת מרים אשת דודי ר"ת היא מחמירה ללבנה עד שתאדים וכשאין יכולה להאדים כי השלהבת אינה יכולה להאדים כמו הגחלים היתה מכוונת כשיעור האדמת גחלים. ולא נודע לי אם על פי דודי עשותה או ע"פ בעלה הראשון ה"ר אברהם שהיה רגיל בחומרות אי נמי לכתחילה אבל בדיעבד לא. ורגילות בכל מקום שמשאלת אשה לחברתה פלדוני"ר או פשטי"ר ולא תשאל מה אפו תחתיו ולא ילבנוהו אלא כדרך המסיקין. ואילו ידעתי האמת שר"ת היה מחמיר הייתי מבטל דברי מפני דבריו אך בעוד שאיני יודע סמכינן אסברותינו ועל עדות בנות גדולי הדור. והוא האריך עוד ואני קצרתי.</w:t>
      </w:r>
    </w:p>
    <w:p w14:paraId="52ADAAFA" w14:textId="77777777" w:rsidR="00AB756E" w:rsidRPr="00F977B4" w:rsidRDefault="00AB756E" w:rsidP="00F977B4">
      <w:pPr>
        <w:autoSpaceDE w:val="0"/>
        <w:autoSpaceDN w:val="0"/>
        <w:bidi/>
        <w:adjustRightInd w:val="0"/>
        <w:jc w:val="both"/>
        <w:rPr>
          <w:b/>
          <w:bCs/>
          <w:u w:val="single"/>
          <w:rtl/>
          <w:lang w:bidi="he-IL"/>
        </w:rPr>
      </w:pPr>
    </w:p>
    <w:p w14:paraId="0D72193F" w14:textId="6BE63DA1" w:rsidR="003C0498" w:rsidRPr="00F977B4" w:rsidRDefault="003C0498" w:rsidP="00F977B4">
      <w:pPr>
        <w:autoSpaceDE w:val="0"/>
        <w:autoSpaceDN w:val="0"/>
        <w:bidi/>
        <w:adjustRightInd w:val="0"/>
        <w:jc w:val="both"/>
        <w:rPr>
          <w:rtl/>
          <w:lang w:bidi="he-IL"/>
        </w:rPr>
      </w:pPr>
      <w:r w:rsidRPr="00F977B4">
        <w:rPr>
          <w:b/>
          <w:bCs/>
          <w:u w:val="single"/>
          <w:rtl/>
          <w:lang w:bidi="he-IL"/>
        </w:rPr>
        <w:t>(</w:t>
      </w:r>
      <w:r w:rsidR="00E2031B">
        <w:rPr>
          <w:rFonts w:hint="cs"/>
          <w:b/>
          <w:bCs/>
          <w:u w:val="single"/>
          <w:rtl/>
          <w:lang w:bidi="he-IL"/>
        </w:rPr>
        <w:t>5</w:t>
      </w:r>
      <w:r w:rsidR="00F977B4" w:rsidRPr="00F977B4">
        <w:rPr>
          <w:b/>
          <w:bCs/>
          <w:u w:val="single"/>
          <w:rtl/>
          <w:lang w:bidi="he-IL"/>
        </w:rPr>
        <w:t>)</w:t>
      </w:r>
      <w:r w:rsidRPr="00F977B4">
        <w:rPr>
          <w:b/>
          <w:bCs/>
          <w:u w:val="single"/>
          <w:rtl/>
          <w:lang w:bidi="he-IL"/>
        </w:rPr>
        <w:t xml:space="preserve"> שו"ת אגרות משה חלק או"ח ב סימן צב </w:t>
      </w:r>
    </w:p>
    <w:p w14:paraId="6D3F40DA" w14:textId="77777777" w:rsidR="003C0498" w:rsidRPr="00F977B4" w:rsidRDefault="003C0498" w:rsidP="00F977B4">
      <w:pPr>
        <w:autoSpaceDE w:val="0"/>
        <w:autoSpaceDN w:val="0"/>
        <w:bidi/>
        <w:adjustRightInd w:val="0"/>
        <w:jc w:val="both"/>
        <w:rPr>
          <w:rtl/>
          <w:lang w:bidi="he-IL"/>
        </w:rPr>
      </w:pPr>
      <w:r w:rsidRPr="00F977B4">
        <w:rPr>
          <w:rtl/>
          <w:lang w:bidi="he-IL"/>
        </w:rPr>
        <w:t xml:space="preserve">ובדבר כלי מראבער אם מהני הגעלה, הנה הראבער שהוא מעץ מהני הגעלה ואף אם יש ספק מצד שיש שם גם איזה חומר כימי הוא ספק דרבנן שהוי לקולא. אבל יש ראבער שאינו מעץ אלא מתערובות מינים כימיים שהוא דבר חדש שלא נמצא בדברי הקדמונים אין להתיר להגעילם. </w:t>
      </w:r>
    </w:p>
    <w:p w14:paraId="2EA7E987" w14:textId="77777777" w:rsidR="003C0498" w:rsidRPr="00F977B4" w:rsidRDefault="003C0498" w:rsidP="00F977B4">
      <w:pPr>
        <w:autoSpaceDE w:val="0"/>
        <w:autoSpaceDN w:val="0"/>
        <w:bidi/>
        <w:adjustRightInd w:val="0"/>
        <w:jc w:val="both"/>
        <w:rPr>
          <w:rtl/>
          <w:lang w:bidi="he-IL"/>
        </w:rPr>
      </w:pPr>
    </w:p>
    <w:p w14:paraId="7AB69D1B" w14:textId="2EE84BD9" w:rsidR="003C0498" w:rsidRPr="00F977B4" w:rsidRDefault="003C0498" w:rsidP="00F977B4">
      <w:pPr>
        <w:autoSpaceDE w:val="0"/>
        <w:autoSpaceDN w:val="0"/>
        <w:bidi/>
        <w:adjustRightInd w:val="0"/>
        <w:jc w:val="both"/>
        <w:rPr>
          <w:rtl/>
          <w:lang w:bidi="he-IL"/>
        </w:rPr>
      </w:pPr>
      <w:r w:rsidRPr="00F977B4">
        <w:rPr>
          <w:b/>
          <w:bCs/>
          <w:u w:val="single"/>
          <w:rtl/>
          <w:lang w:bidi="he-IL"/>
        </w:rPr>
        <w:t>(</w:t>
      </w:r>
      <w:r w:rsidR="00E2031B">
        <w:rPr>
          <w:rFonts w:hint="cs"/>
          <w:b/>
          <w:bCs/>
          <w:u w:val="single"/>
          <w:rtl/>
          <w:lang w:bidi="he-IL"/>
        </w:rPr>
        <w:t>6</w:t>
      </w:r>
      <w:r w:rsidRPr="00F977B4">
        <w:rPr>
          <w:b/>
          <w:bCs/>
          <w:u w:val="single"/>
          <w:rtl/>
          <w:lang w:bidi="he-IL"/>
        </w:rPr>
        <w:t xml:space="preserve">) שו"ת מנחת יצחק חלק ג סימן סז </w:t>
      </w:r>
    </w:p>
    <w:p w14:paraId="4AB6166F" w14:textId="77777777" w:rsidR="003C0498" w:rsidRPr="00F977B4" w:rsidRDefault="00F977B4" w:rsidP="00F977B4">
      <w:pPr>
        <w:autoSpaceDE w:val="0"/>
        <w:autoSpaceDN w:val="0"/>
        <w:bidi/>
        <w:adjustRightInd w:val="0"/>
        <w:jc w:val="both"/>
        <w:rPr>
          <w:rtl/>
          <w:lang w:bidi="he-IL"/>
        </w:rPr>
      </w:pPr>
      <w:r>
        <w:rPr>
          <w:rtl/>
          <w:lang w:bidi="he-IL"/>
        </w:rPr>
        <w:t xml:space="preserve">בהגעלת כלי פלסתיקה וניילון. </w:t>
      </w:r>
      <w:r w:rsidR="003C0498" w:rsidRPr="00F977B4">
        <w:rPr>
          <w:rtl/>
          <w:lang w:bidi="he-IL"/>
        </w:rPr>
        <w:t xml:space="preserve">ב"ה ר"ח ניסן תשי"ט לפ"ק מנשסתר יצ"ו. ע"ד אשר נשאלתי מרבים וכן שלמים ע"ד הגעלת כלי פלסתיקה וניילון וכיב"ז. </w:t>
      </w:r>
    </w:p>
    <w:p w14:paraId="46878374" w14:textId="77777777" w:rsidR="003C0498" w:rsidRPr="00F977B4" w:rsidRDefault="003C0498" w:rsidP="00F977B4">
      <w:pPr>
        <w:autoSpaceDE w:val="0"/>
        <w:autoSpaceDN w:val="0"/>
        <w:bidi/>
        <w:adjustRightInd w:val="0"/>
        <w:jc w:val="both"/>
        <w:rPr>
          <w:rtl/>
          <w:lang w:bidi="he-IL"/>
        </w:rPr>
      </w:pPr>
      <w:r w:rsidRPr="00F977B4">
        <w:rPr>
          <w:rtl/>
          <w:lang w:bidi="he-IL"/>
        </w:rPr>
        <w:t xml:space="preserve">תשובה. הנה יש לחקור בזה בתרתי, א' אם פועלת בהו ההגעלה לפלוט הבליעה מתוכם, אף אם יהי' נעשה ההגעלה כדינו, ב' אם אין חשש מחמת שמתקלקל ע"י חמי האש, דלמא חייס, ולא יעשה ההגעלה כדינו, ואם מועיל ההכשר ע"י מילוי ועירוי, ואם יש לחלק בין תשמישו בכלי ראשון או בכלי שני, או בצונן ע"י כבוש. </w:t>
      </w:r>
    </w:p>
    <w:p w14:paraId="57CADEE4" w14:textId="77777777" w:rsidR="003C0498" w:rsidRPr="00F977B4" w:rsidRDefault="003C0498" w:rsidP="00F977B4">
      <w:pPr>
        <w:autoSpaceDE w:val="0"/>
        <w:autoSpaceDN w:val="0"/>
        <w:bidi/>
        <w:adjustRightInd w:val="0"/>
        <w:jc w:val="both"/>
        <w:rPr>
          <w:lang w:bidi="he-IL"/>
        </w:rPr>
      </w:pPr>
      <w:r w:rsidRPr="00F977B4">
        <w:rPr>
          <w:rtl/>
          <w:lang w:bidi="he-IL"/>
        </w:rPr>
        <w:t>(א) הנה בנוגע לחקירה הראשונה, נראה דפועלת בהו ההגעלה להפליט הבליעה מהם, דלאו דוקא מתכת ועץ ואבן ועצם המבוארים בש"ע (או"ח סי' תנ"א), פועלת בהו ההגעלה, אלא אף בכלים הנעשים מגללים ואדמה (לכ"פ), ומפות ונייר, כמבואר כ"ז בפמ"ג שם, /או"ח סי' תנ"א/ וממילא הה"ד בפלסתיקה דמאי שנא, וכמ"ש בזה בתשו' חלקת יעקב ממחו' הגאון נ"י (חלק שני סי' קס"ג) ...</w:t>
      </w:r>
    </w:p>
    <w:sectPr w:rsidR="003C0498" w:rsidRPr="00F977B4" w:rsidSect="00E2031B">
      <w:headerReference w:type="first" r:id="rId6"/>
      <w:pgSz w:w="11909" w:h="16834" w:code="9"/>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7F23" w14:textId="77777777" w:rsidR="00FF0D78" w:rsidRDefault="00FF0D78">
      <w:r>
        <w:separator/>
      </w:r>
    </w:p>
  </w:endnote>
  <w:endnote w:type="continuationSeparator" w:id="0">
    <w:p w14:paraId="47343D8A" w14:textId="77777777" w:rsidR="00FF0D78" w:rsidRDefault="00FF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C4A58" w14:textId="77777777" w:rsidR="00FF0D78" w:rsidRDefault="00FF0D78">
      <w:r>
        <w:separator/>
      </w:r>
    </w:p>
  </w:footnote>
  <w:footnote w:type="continuationSeparator" w:id="0">
    <w:p w14:paraId="26ADB482" w14:textId="77777777" w:rsidR="00FF0D78" w:rsidRDefault="00FF0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60F9" w14:textId="77777777" w:rsidR="0008060F" w:rsidRPr="00F977B4" w:rsidRDefault="0008060F" w:rsidP="0008060F">
    <w:pPr>
      <w:autoSpaceDE w:val="0"/>
      <w:autoSpaceDN w:val="0"/>
      <w:bidi/>
      <w:adjustRightInd w:val="0"/>
      <w:jc w:val="center"/>
      <w:rPr>
        <w:b/>
        <w:bCs/>
        <w:u w:val="single"/>
        <w:lang w:bidi="he-IL"/>
      </w:rPr>
    </w:pPr>
    <w:r w:rsidRPr="00F977B4">
      <w:rPr>
        <w:b/>
        <w:bCs/>
        <w:u w:val="single"/>
        <w:rtl/>
        <w:lang w:bidi="he-IL"/>
      </w:rPr>
      <w:t>בענין הכשרת תנור; בענין הכשר כלי 'פלסתיק'</w:t>
    </w:r>
  </w:p>
  <w:p w14:paraId="700A1C80" w14:textId="77777777" w:rsidR="0008060F" w:rsidRDefault="00080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077"/>
    <w:rsid w:val="00015190"/>
    <w:rsid w:val="0008060F"/>
    <w:rsid w:val="00104022"/>
    <w:rsid w:val="00380077"/>
    <w:rsid w:val="003C0498"/>
    <w:rsid w:val="0047126C"/>
    <w:rsid w:val="004905B7"/>
    <w:rsid w:val="00615CEB"/>
    <w:rsid w:val="0063125C"/>
    <w:rsid w:val="00753525"/>
    <w:rsid w:val="00925225"/>
    <w:rsid w:val="00A7649B"/>
    <w:rsid w:val="00AB756E"/>
    <w:rsid w:val="00AC1D4C"/>
    <w:rsid w:val="00BC0847"/>
    <w:rsid w:val="00CA1D62"/>
    <w:rsid w:val="00CE4B0B"/>
    <w:rsid w:val="00D42A5B"/>
    <w:rsid w:val="00D43305"/>
    <w:rsid w:val="00DC3DFD"/>
    <w:rsid w:val="00E2031B"/>
    <w:rsid w:val="00E7722D"/>
    <w:rsid w:val="00E857DE"/>
    <w:rsid w:val="00F977B4"/>
    <w:rsid w:val="00FF0D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6C3B4"/>
  <w15:chartTrackingRefBased/>
  <w15:docId w15:val="{19E90C24-A1B5-4FAD-A186-A1DD5B86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80077"/>
    <w:rPr>
      <w:rFonts w:ascii="Tahoma" w:hAnsi="Tahoma" w:cs="Tahoma"/>
      <w:sz w:val="16"/>
      <w:szCs w:val="16"/>
    </w:rPr>
  </w:style>
  <w:style w:type="paragraph" w:styleId="Header">
    <w:name w:val="header"/>
    <w:basedOn w:val="Normal"/>
    <w:rsid w:val="0008060F"/>
    <w:pPr>
      <w:tabs>
        <w:tab w:val="center" w:pos="4153"/>
        <w:tab w:val="right" w:pos="8306"/>
      </w:tabs>
    </w:pPr>
  </w:style>
  <w:style w:type="paragraph" w:styleId="Footer">
    <w:name w:val="footer"/>
    <w:basedOn w:val="Normal"/>
    <w:rsid w:val="0008060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שו"ת אגרות משה חלק יו"ד ב סימן לא </vt:lpstr>
    </vt:vector>
  </TitlesOfParts>
  <Company>University</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שו"ת אגרות משה חלק יו"ד ב סימן לא </dc:title>
  <dc:subject/>
  <dc:creator>Asaf</dc:creator>
  <cp:keywords/>
  <dc:description/>
  <cp:lastModifiedBy>Assaf Bednarsh</cp:lastModifiedBy>
  <cp:revision>2</cp:revision>
  <cp:lastPrinted>2008-01-08T07:20:00Z</cp:lastPrinted>
  <dcterms:created xsi:type="dcterms:W3CDTF">2021-05-19T11:37:00Z</dcterms:created>
  <dcterms:modified xsi:type="dcterms:W3CDTF">2021-05-19T11:37:00Z</dcterms:modified>
</cp:coreProperties>
</file>