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03E553E2" w:rsidR="00746C02" w:rsidRPr="007E1481" w:rsidRDefault="00D036C2" w:rsidP="00087562">
      <w:pPr>
        <w:spacing w:after="120"/>
        <w:jc w:val="center"/>
        <w:rPr>
          <w:rFonts w:hint="cs"/>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EA3789">
        <w:rPr>
          <w:u w:val="single"/>
        </w:rPr>
        <w:t>42</w:t>
      </w:r>
    </w:p>
    <w:p w14:paraId="115F17BE" w14:textId="77777777" w:rsidR="00BE4B2D" w:rsidRDefault="006B0C83" w:rsidP="00BE4B2D">
      <w:pPr>
        <w:spacing w:after="120"/>
        <w:jc w:val="both"/>
        <w:rPr>
          <w:rtl/>
        </w:rPr>
      </w:pPr>
      <w:r w:rsidRPr="007E1481">
        <w:rPr>
          <w:rFonts w:hint="cs"/>
          <w:rtl/>
        </w:rPr>
        <w:t>(1)</w:t>
      </w:r>
      <w:r w:rsidR="00F07F16">
        <w:rPr>
          <w:rFonts w:hint="cs"/>
          <w:rtl/>
        </w:rPr>
        <w:t xml:space="preserve"> </w:t>
      </w:r>
      <w:r w:rsidR="00BE4B2D">
        <w:rPr>
          <w:rFonts w:hint="cs"/>
          <w:rtl/>
        </w:rPr>
        <w:t>לסיים את המקורות מדף 41</w:t>
      </w:r>
    </w:p>
    <w:p w14:paraId="76370E05" w14:textId="179BF749" w:rsidR="00F13863" w:rsidRDefault="00AF4B0A" w:rsidP="00BE4B2D">
      <w:pPr>
        <w:spacing w:after="120"/>
        <w:jc w:val="both"/>
        <w:rPr>
          <w:rtl/>
        </w:rPr>
      </w:pPr>
      <w:r>
        <w:rPr>
          <w:rFonts w:hint="cs"/>
          <w:rtl/>
        </w:rPr>
        <w:t xml:space="preserve">ובענין </w:t>
      </w:r>
      <w:r w:rsidR="00F13863">
        <w:rPr>
          <w:rFonts w:hint="cs"/>
          <w:rtl/>
        </w:rPr>
        <w:t>האכ</w:t>
      </w:r>
      <w:r w:rsidR="00045D3C">
        <w:rPr>
          <w:rFonts w:hint="cs"/>
          <w:rtl/>
        </w:rPr>
        <w:t>ל</w:t>
      </w:r>
      <w:r w:rsidR="00F13863">
        <w:rPr>
          <w:rFonts w:hint="cs"/>
          <w:rtl/>
        </w:rPr>
        <w:t>ת טבל ל</w:t>
      </w:r>
      <w:r>
        <w:rPr>
          <w:rFonts w:hint="cs"/>
          <w:rtl/>
        </w:rPr>
        <w:t>בהמה</w:t>
      </w:r>
      <w:r w:rsidR="00F13863">
        <w:rPr>
          <w:rFonts w:hint="cs"/>
          <w:rtl/>
        </w:rPr>
        <w:t>, עיין עוד רמב"ם מעשר ו:ב</w:t>
      </w:r>
      <w:r w:rsidR="00045D3C">
        <w:rPr>
          <w:rFonts w:hint="cs"/>
          <w:rtl/>
        </w:rPr>
        <w:t>, ועיין עוד תוס' יבמות סו: ד"ה לא, תו"י שם אות א</w:t>
      </w:r>
    </w:p>
    <w:p w14:paraId="175D9E5F" w14:textId="60E2C1F0" w:rsidR="00BE4B2D" w:rsidRDefault="00AF4B0A" w:rsidP="00BE4B2D">
      <w:pPr>
        <w:spacing w:after="120"/>
        <w:jc w:val="both"/>
        <w:rPr>
          <w:rtl/>
        </w:rPr>
      </w:pPr>
      <w:r>
        <w:rPr>
          <w:rFonts w:hint="cs"/>
          <w:rtl/>
        </w:rPr>
        <w:t xml:space="preserve"> </w:t>
      </w:r>
    </w:p>
    <w:p w14:paraId="18A095F9" w14:textId="788BEE11" w:rsidR="00BE4B2D" w:rsidRDefault="00BE4B2D" w:rsidP="00BE4B2D">
      <w:pPr>
        <w:spacing w:after="120"/>
        <w:jc w:val="both"/>
        <w:rPr>
          <w:rtl/>
        </w:rPr>
      </w:pPr>
      <w:r>
        <w:rPr>
          <w:rFonts w:hint="cs"/>
          <w:rtl/>
        </w:rPr>
        <w:t>(2) בענין טומאת כהן לנפל:</w:t>
      </w:r>
    </w:p>
    <w:p w14:paraId="06CE316F" w14:textId="0C6D84AB" w:rsidR="0046749A" w:rsidRDefault="00BE4B2D" w:rsidP="0046749A">
      <w:pPr>
        <w:spacing w:after="120"/>
        <w:jc w:val="both"/>
        <w:rPr>
          <w:rtl/>
        </w:rPr>
      </w:pPr>
      <w:r>
        <w:rPr>
          <w:rFonts w:hint="cs"/>
          <w:rtl/>
        </w:rPr>
        <w:t>תוס' סוד"ה בשפחתו, תוס' שאנץ ד"ה</w:t>
      </w:r>
      <w:r w:rsidR="0046749A">
        <w:rPr>
          <w:rFonts w:hint="cs"/>
          <w:rtl/>
        </w:rPr>
        <w:t xml:space="preserve"> </w:t>
      </w:r>
      <w:r>
        <w:rPr>
          <w:rFonts w:hint="cs"/>
          <w:rtl/>
        </w:rPr>
        <w:t>ובא כהן (</w:t>
      </w:r>
      <w:r w:rsidR="000F284E">
        <w:rPr>
          <w:rFonts w:hint="cs"/>
          <w:rtl/>
        </w:rPr>
        <w:t>השני</w:t>
      </w:r>
      <w:r w:rsidR="00540DC0">
        <w:rPr>
          <w:rFonts w:hint="cs"/>
          <w:rtl/>
        </w:rPr>
        <w:t xml:space="preserve">) "... </w:t>
      </w:r>
      <w:r>
        <w:rPr>
          <w:rFonts w:hint="cs"/>
          <w:rtl/>
        </w:rPr>
        <w:t>דאביו ואמו"</w:t>
      </w:r>
    </w:p>
    <w:p w14:paraId="63CE8F79" w14:textId="3CA4D746" w:rsidR="0046749A" w:rsidRDefault="0046749A" w:rsidP="0046749A">
      <w:pPr>
        <w:spacing w:after="120"/>
        <w:jc w:val="both"/>
        <w:rPr>
          <w:rtl/>
        </w:rPr>
      </w:pPr>
      <w:r>
        <w:rPr>
          <w:rFonts w:hint="cs"/>
          <w:rtl/>
        </w:rPr>
        <w:t>מגן אברהם תקכו:כ, [שו"ת שאגת אריה החדשות סי' ז]</w:t>
      </w:r>
    </w:p>
    <w:p w14:paraId="1AE3654F" w14:textId="3F0C5EB0" w:rsidR="0046749A" w:rsidRDefault="0046749A" w:rsidP="005B7F28">
      <w:pPr>
        <w:spacing w:after="120"/>
        <w:jc w:val="both"/>
        <w:rPr>
          <w:rtl/>
        </w:rPr>
      </w:pPr>
      <w:r>
        <w:rPr>
          <w:rFonts w:hint="cs"/>
          <w:rtl/>
        </w:rPr>
        <w:t xml:space="preserve">[בענין טומאה שלא לצורך המת, עי' מנחת חינוך </w:t>
      </w:r>
      <w:r w:rsidR="005B7F28">
        <w:rPr>
          <w:rFonts w:hint="cs"/>
          <w:rtl/>
        </w:rPr>
        <w:t>מצוה רסד "</w:t>
      </w:r>
      <w:r w:rsidR="005B7F28">
        <w:rPr>
          <w:rtl/>
        </w:rPr>
        <w:t xml:space="preserve">ואכתוב לך כאן ענין הותרה או דחוי' </w:t>
      </w:r>
      <w:r w:rsidR="005B7F28">
        <w:rPr>
          <w:rFonts w:hint="cs"/>
          <w:rtl/>
        </w:rPr>
        <w:t xml:space="preserve"> ... דהוא מוזהר על כ"מ כמ"ש וצ"ע"</w:t>
      </w:r>
      <w:r w:rsidR="00540DC0">
        <w:rPr>
          <w:rFonts w:hint="cs"/>
          <w:rtl/>
        </w:rPr>
        <w:t>.</w:t>
      </w:r>
      <w:r w:rsidR="005B7F28">
        <w:rPr>
          <w:rFonts w:hint="cs"/>
          <w:rtl/>
        </w:rPr>
        <w:t xml:space="preserve"> ואכמ"ל]</w:t>
      </w:r>
    </w:p>
    <w:p w14:paraId="625DBF85" w14:textId="4189430F" w:rsidR="005B7F28" w:rsidRDefault="005B7F28" w:rsidP="005B7F28">
      <w:pPr>
        <w:spacing w:after="120"/>
        <w:jc w:val="both"/>
        <w:rPr>
          <w:rtl/>
        </w:rPr>
      </w:pPr>
    </w:p>
    <w:p w14:paraId="49DE65F3" w14:textId="73AA96E7" w:rsidR="005B7F28" w:rsidRDefault="005B7F28" w:rsidP="005B7F28">
      <w:pPr>
        <w:spacing w:after="120"/>
        <w:jc w:val="both"/>
        <w:rPr>
          <w:rtl/>
        </w:rPr>
      </w:pPr>
      <w:r>
        <w:rPr>
          <w:rFonts w:hint="cs"/>
          <w:rtl/>
        </w:rPr>
        <w:t xml:space="preserve">(3) בענין </w:t>
      </w:r>
      <w:r w:rsidR="00704184">
        <w:rPr>
          <w:rFonts w:hint="cs"/>
          <w:rtl/>
        </w:rPr>
        <w:t>תוד"ה ספק:</w:t>
      </w:r>
    </w:p>
    <w:p w14:paraId="726C0E7B" w14:textId="6AA0FA04" w:rsidR="00BA2328" w:rsidRDefault="00BA2328" w:rsidP="005B7F28">
      <w:pPr>
        <w:spacing w:after="120"/>
        <w:jc w:val="both"/>
        <w:rPr>
          <w:rtl/>
        </w:rPr>
      </w:pPr>
      <w:r>
        <w:rPr>
          <w:rFonts w:hint="cs"/>
          <w:rtl/>
        </w:rPr>
        <w:t>משנה אהלות ז:א "נפש אטומה ... כקבר סתום"</w:t>
      </w:r>
    </w:p>
    <w:p w14:paraId="4829FD30" w14:textId="77777777" w:rsidR="00160A6B" w:rsidRDefault="00160A6B" w:rsidP="00160A6B">
      <w:pPr>
        <w:spacing w:after="120"/>
        <w:jc w:val="both"/>
        <w:rPr>
          <w:rtl/>
        </w:rPr>
      </w:pPr>
      <w:r>
        <w:rPr>
          <w:rFonts w:hint="cs"/>
          <w:rtl/>
        </w:rPr>
        <w:t>[חכמת שלמה על רש"י ד"ה שחולדה, מהרש"א על תוד"ה ספק]</w:t>
      </w:r>
    </w:p>
    <w:p w14:paraId="3CA46669" w14:textId="7BD48413" w:rsidR="00BA2328" w:rsidRDefault="00BA2328" w:rsidP="005B7F28">
      <w:pPr>
        <w:spacing w:after="120"/>
        <w:jc w:val="both"/>
        <w:rPr>
          <w:rtl/>
        </w:rPr>
      </w:pPr>
      <w:r>
        <w:rPr>
          <w:rFonts w:hint="cs"/>
          <w:rtl/>
        </w:rPr>
        <w:t>תוס' ב"ב ק: ד"ה ורומן</w:t>
      </w:r>
      <w:r w:rsidR="00160A6B">
        <w:rPr>
          <w:rFonts w:hint="cs"/>
          <w:rtl/>
        </w:rPr>
        <w:t xml:space="preserve"> "... ואין להאריך כאן", רמב"ם וראב"ד טומאת מת כה:ב</w:t>
      </w:r>
    </w:p>
    <w:p w14:paraId="286C810E" w14:textId="689E9357" w:rsidR="00704184" w:rsidRDefault="000F284E" w:rsidP="005B7F28">
      <w:pPr>
        <w:spacing w:after="120"/>
        <w:jc w:val="both"/>
        <w:rPr>
          <w:rtl/>
        </w:rPr>
      </w:pPr>
      <w:r>
        <w:rPr>
          <w:rFonts w:hint="cs"/>
          <w:rtl/>
        </w:rPr>
        <w:t xml:space="preserve">תוס' ר"פ ד"ה מפני, </w:t>
      </w:r>
      <w:r w:rsidR="00704184">
        <w:rPr>
          <w:rFonts w:hint="cs"/>
          <w:rtl/>
        </w:rPr>
        <w:t>רבינו דוד ד"ה והא הכא, מהר"ם חל</w:t>
      </w:r>
      <w:r>
        <w:rPr>
          <w:rFonts w:hint="cs"/>
          <w:rtl/>
        </w:rPr>
        <w:t>אוו</w:t>
      </w:r>
      <w:r w:rsidR="00704184">
        <w:rPr>
          <w:rFonts w:hint="cs"/>
          <w:rtl/>
        </w:rPr>
        <w:t>ה ד"ה ואב"א ה"נ</w:t>
      </w:r>
    </w:p>
    <w:p w14:paraId="2687620C" w14:textId="11939A48" w:rsidR="000F284E" w:rsidRDefault="000F284E" w:rsidP="005B7F28">
      <w:pPr>
        <w:spacing w:after="120"/>
        <w:jc w:val="both"/>
        <w:rPr>
          <w:rtl/>
        </w:rPr>
      </w:pPr>
      <w:r>
        <w:rPr>
          <w:rFonts w:hint="cs"/>
          <w:rtl/>
        </w:rPr>
        <w:t xml:space="preserve">[תוס' שאנץ ד"ה </w:t>
      </w:r>
      <w:r>
        <w:rPr>
          <w:rFonts w:hint="cs"/>
          <w:rtl/>
        </w:rPr>
        <w:t>ובא כהן (השני)</w:t>
      </w:r>
      <w:r>
        <w:rPr>
          <w:rFonts w:hint="cs"/>
          <w:rtl/>
        </w:rPr>
        <w:t>], [תוס' רי"ד ע"ז מב. ד"ה וטהרוה]</w:t>
      </w:r>
    </w:p>
    <w:p w14:paraId="1656DA70" w14:textId="1D06B954" w:rsidR="005B7F28" w:rsidRDefault="005B7F28" w:rsidP="005B7F28">
      <w:pPr>
        <w:spacing w:after="120"/>
        <w:jc w:val="both"/>
        <w:rPr>
          <w:rtl/>
        </w:rPr>
      </w:pPr>
    </w:p>
    <w:p w14:paraId="26009FA9" w14:textId="3466189E" w:rsidR="005B7F28" w:rsidRDefault="00AC1529" w:rsidP="005B7F28">
      <w:pPr>
        <w:spacing w:after="120"/>
        <w:jc w:val="both"/>
        <w:rPr>
          <w:rtl/>
        </w:rPr>
      </w:pPr>
      <w:r>
        <w:rPr>
          <w:rFonts w:hint="cs"/>
          <w:rtl/>
        </w:rPr>
        <w:t>(4) בענין אין ספק מוציא מידי ודאי:</w:t>
      </w:r>
    </w:p>
    <w:p w14:paraId="496D9C00" w14:textId="377549CF" w:rsidR="007B0A21" w:rsidRDefault="00160A6B" w:rsidP="007C6197">
      <w:pPr>
        <w:spacing w:after="120"/>
        <w:jc w:val="both"/>
        <w:rPr>
          <w:rtl/>
        </w:rPr>
      </w:pPr>
      <w:r>
        <w:rPr>
          <w:rFonts w:hint="cs"/>
          <w:rtl/>
        </w:rPr>
        <w:t>באיזה סוג של ספק מיירי?</w:t>
      </w:r>
    </w:p>
    <w:p w14:paraId="7DE76122" w14:textId="34060784" w:rsidR="000F72C8" w:rsidRDefault="00270370" w:rsidP="000F72C8">
      <w:pPr>
        <w:spacing w:after="120"/>
        <w:jc w:val="both"/>
        <w:rPr>
          <w:rtl/>
        </w:rPr>
      </w:pPr>
      <w:r>
        <w:rPr>
          <w:rFonts w:hint="cs"/>
          <w:rtl/>
        </w:rPr>
        <w:t>תו</w:t>
      </w:r>
      <w:r w:rsidR="000F72C8">
        <w:rPr>
          <w:rFonts w:hint="cs"/>
          <w:rtl/>
        </w:rPr>
        <w:t>ס' ט. ד"ה</w:t>
      </w:r>
      <w:r>
        <w:rPr>
          <w:rFonts w:hint="cs"/>
          <w:rtl/>
        </w:rPr>
        <w:t xml:space="preserve"> ואם</w:t>
      </w:r>
      <w:r w:rsidR="000F72C8">
        <w:rPr>
          <w:rFonts w:hint="cs"/>
          <w:rtl/>
        </w:rPr>
        <w:t>, רבינו דוד שם "ותראה הרב בעל המאור ז"ל ... כל שכן אם הוא ספק גמור"</w:t>
      </w:r>
    </w:p>
    <w:p w14:paraId="4F593A66" w14:textId="3BC133A7" w:rsidR="000F72C8" w:rsidRDefault="000F72C8" w:rsidP="000F72C8">
      <w:pPr>
        <w:spacing w:after="120"/>
        <w:jc w:val="both"/>
        <w:rPr>
          <w:rtl/>
        </w:rPr>
      </w:pPr>
      <w:r>
        <w:rPr>
          <w:rFonts w:hint="cs"/>
          <w:rtl/>
        </w:rPr>
        <w:t>[ר' דוד ד"ה טעמא דלא חזינא דשקל, ד"ה אמר רבי זירא; בעל המאור דף ד: באלפס ד"ה תשעה צבורין]</w:t>
      </w:r>
    </w:p>
    <w:p w14:paraId="1A68990B" w14:textId="77777777" w:rsidR="000F72C8" w:rsidRDefault="000F72C8" w:rsidP="000F72C8">
      <w:pPr>
        <w:spacing w:after="120"/>
        <w:jc w:val="both"/>
        <w:rPr>
          <w:rtl/>
        </w:rPr>
      </w:pPr>
      <w:r>
        <w:rPr>
          <w:rFonts w:hint="cs"/>
          <w:rtl/>
        </w:rPr>
        <w:t xml:space="preserve">[חי' הר"ן ד"ה ואם תמצא לומר היה אימר אכלתיה, </w:t>
      </w:r>
      <w:r>
        <w:rPr>
          <w:rtl/>
        </w:rPr>
        <w:t xml:space="preserve">מהר"ם חלאווה </w:t>
      </w:r>
      <w:r>
        <w:rPr>
          <w:rFonts w:hint="cs"/>
          <w:rtl/>
        </w:rPr>
        <w:t xml:space="preserve">ד"ה </w:t>
      </w:r>
      <w:r>
        <w:rPr>
          <w:rtl/>
        </w:rPr>
        <w:t>ואין ספק מוציא מידי ודאי</w:t>
      </w:r>
      <w:r>
        <w:rPr>
          <w:rFonts w:hint="cs"/>
          <w:rtl/>
        </w:rPr>
        <w:t>]</w:t>
      </w:r>
    </w:p>
    <w:p w14:paraId="4DD0A035" w14:textId="08E5148F" w:rsidR="007B0A21" w:rsidRDefault="000F72C8" w:rsidP="000F72C8">
      <w:pPr>
        <w:spacing w:after="120"/>
        <w:jc w:val="both"/>
        <w:rPr>
          <w:rtl/>
        </w:rPr>
      </w:pPr>
      <w:r>
        <w:rPr>
          <w:rFonts w:hint="cs"/>
          <w:rtl/>
        </w:rPr>
        <w:t>גמרא ע"ז מא: - מב. "</w:t>
      </w:r>
      <w:r>
        <w:rPr>
          <w:rtl/>
        </w:rPr>
        <w:t xml:space="preserve">אתמר עבודת כוכבים שנשתברה מאיליה </w:t>
      </w:r>
      <w:r>
        <w:rPr>
          <w:rFonts w:hint="cs"/>
          <w:rtl/>
        </w:rPr>
        <w:t xml:space="preserve"> ... ודאי גררוהו"</w:t>
      </w:r>
    </w:p>
    <w:p w14:paraId="1A7DBEBB" w14:textId="265BDE14" w:rsidR="007B0A21" w:rsidRDefault="000F72C8" w:rsidP="000F72C8">
      <w:pPr>
        <w:spacing w:after="120"/>
        <w:jc w:val="both"/>
        <w:rPr>
          <w:rtl/>
        </w:rPr>
      </w:pPr>
      <w:r>
        <w:rPr>
          <w:rFonts w:hint="cs"/>
          <w:rtl/>
        </w:rPr>
        <w:t>גמרא נדה טו: - טז. "</w:t>
      </w:r>
      <w:r>
        <w:rPr>
          <w:rtl/>
        </w:rPr>
        <w:t>אמר רב שמואל משמיה דרבי יוחנן</w:t>
      </w:r>
      <w:r w:rsidR="00540DC0">
        <w:rPr>
          <w:rFonts w:hint="cs"/>
          <w:rtl/>
        </w:rPr>
        <w:t xml:space="preserve"> </w:t>
      </w:r>
      <w:r>
        <w:rPr>
          <w:rtl/>
        </w:rPr>
        <w:t>אשה שיש לה וסת</w:t>
      </w:r>
      <w:r w:rsidR="00540DC0">
        <w:rPr>
          <w:rFonts w:hint="cs"/>
          <w:rtl/>
        </w:rPr>
        <w:t xml:space="preserve"> ... </w:t>
      </w:r>
      <w:r w:rsidR="00540DC0">
        <w:rPr>
          <w:rFonts w:hint="cs"/>
          <w:rtl/>
        </w:rPr>
        <w:t>ודאי גררוהו"</w:t>
      </w:r>
    </w:p>
    <w:p w14:paraId="16FACE9D" w14:textId="650AC6FA" w:rsidR="007C6197" w:rsidRDefault="007C6197" w:rsidP="00DB7363">
      <w:pPr>
        <w:spacing w:after="120"/>
        <w:rPr>
          <w:rtl/>
        </w:rPr>
      </w:pPr>
    </w:p>
    <w:p w14:paraId="1F998AA3" w14:textId="77777777" w:rsidR="007B0A21" w:rsidRDefault="007B0A21" w:rsidP="00DB7363">
      <w:pPr>
        <w:spacing w:after="120"/>
        <w:rPr>
          <w:rtl/>
        </w:rPr>
      </w:pPr>
    </w:p>
    <w:p w14:paraId="71981501" w14:textId="0A0B0660" w:rsidR="007B0A21" w:rsidRDefault="007B0A21" w:rsidP="007B0A21">
      <w:pPr>
        <w:autoSpaceDE w:val="0"/>
        <w:autoSpaceDN w:val="0"/>
        <w:adjustRightInd w:val="0"/>
        <w:jc w:val="both"/>
      </w:pPr>
    </w:p>
    <w:p w14:paraId="64A9016E" w14:textId="77777777" w:rsidR="007B0A21" w:rsidRPr="007B0A21" w:rsidRDefault="007B0A21" w:rsidP="007B0A21">
      <w:pPr>
        <w:autoSpaceDE w:val="0"/>
        <w:autoSpaceDN w:val="0"/>
        <w:adjustRightInd w:val="0"/>
        <w:jc w:val="both"/>
        <w:rPr>
          <w:u w:val="single"/>
          <w:rtl/>
        </w:rPr>
      </w:pPr>
      <w:r w:rsidRPr="007B0A21">
        <w:rPr>
          <w:u w:val="single"/>
          <w:rtl/>
        </w:rPr>
        <w:t>שולחן ערוך אורח חיים סימן תקכו סעיף י</w:t>
      </w:r>
    </w:p>
    <w:p w14:paraId="3081DDBE" w14:textId="42A8C2E9" w:rsidR="007B0A21" w:rsidRDefault="007B0A21" w:rsidP="007B0A21">
      <w:pPr>
        <w:autoSpaceDE w:val="0"/>
        <w:autoSpaceDN w:val="0"/>
        <w:adjustRightInd w:val="0"/>
        <w:jc w:val="both"/>
        <w:rPr>
          <w:rtl/>
        </w:rPr>
      </w:pPr>
      <w:r>
        <w:rPr>
          <w:rtl/>
        </w:rPr>
        <w:t>נפלים שנהגו להסיר ערלתן בצרור אבן או בקנה, אסור אפילו בי"ט שני של גליות. הגה: ואסור לקברו בי"ט, אלא מניחו עד למחר (ב"י).</w:t>
      </w:r>
    </w:p>
    <w:p w14:paraId="725A1787" w14:textId="77777777" w:rsidR="007B0A21" w:rsidRDefault="007B0A21" w:rsidP="007B0A21">
      <w:pPr>
        <w:autoSpaceDE w:val="0"/>
        <w:autoSpaceDN w:val="0"/>
        <w:adjustRightInd w:val="0"/>
        <w:jc w:val="both"/>
        <w:rPr>
          <w:rtl/>
        </w:rPr>
      </w:pPr>
    </w:p>
    <w:p w14:paraId="2A62DD7B" w14:textId="7EBC0F0B" w:rsidR="007B0A21" w:rsidRPr="007B0A21" w:rsidRDefault="007B0A21" w:rsidP="007B0A21">
      <w:pPr>
        <w:autoSpaceDE w:val="0"/>
        <w:autoSpaceDN w:val="0"/>
        <w:adjustRightInd w:val="0"/>
        <w:jc w:val="both"/>
        <w:rPr>
          <w:u w:val="single"/>
          <w:rtl/>
        </w:rPr>
      </w:pPr>
      <w:r w:rsidRPr="007B0A21">
        <w:rPr>
          <w:u w:val="single"/>
          <w:rtl/>
        </w:rPr>
        <w:t>מגן אברהם סימן תקכו</w:t>
      </w:r>
      <w:r w:rsidRPr="007B0A21">
        <w:rPr>
          <w:rFonts w:hint="cs"/>
          <w:u w:val="single"/>
        </w:rPr>
        <w:t xml:space="preserve"> </w:t>
      </w:r>
      <w:r w:rsidRPr="007B0A21">
        <w:rPr>
          <w:rFonts w:hint="cs"/>
          <w:u w:val="single"/>
          <w:rtl/>
        </w:rPr>
        <w:t xml:space="preserve">ס"ק </w:t>
      </w:r>
      <w:r w:rsidRPr="007B0A21">
        <w:rPr>
          <w:u w:val="single"/>
          <w:rtl/>
        </w:rPr>
        <w:t xml:space="preserve">כ </w:t>
      </w:r>
    </w:p>
    <w:p w14:paraId="01470095" w14:textId="2DD7804A" w:rsidR="00F5561F" w:rsidRDefault="007B0A21" w:rsidP="007B0A21">
      <w:pPr>
        <w:autoSpaceDE w:val="0"/>
        <w:autoSpaceDN w:val="0"/>
        <w:adjustRightInd w:val="0"/>
        <w:jc w:val="both"/>
        <w:rPr>
          <w:rtl/>
        </w:rPr>
      </w:pPr>
      <w:r>
        <w:rPr>
          <w:rtl/>
        </w:rPr>
        <w:t>אסור אפי' וכו'. דאין מצוה לקבור נפל וא"כ אין י"ט נדחה לצורכי קבורתו ועוד דמה שנהגו להסירה אינו מנהג של תורה אלא מנהג בעלמא משום תקנו' הפושעים דאמרי בב"ר שהקב"ה מעביר הערל' מן הקטנים ונותנ' על פושעי ישראל (הג"מ) וכ' בבד"ה דזה מיירי דידעי' בודאי שלא כלו לו חדשיו דאל"כ קוברים אותו בי"ט כמ"ש ס"ט משמע דס"ל דקוברין אותו ואין מוהלין אותו, ובד"מ כ' דעכ"פ ימתין עד למחר וימול אותו אפי' גמרו שערו וצפרניו ומשמע דאם הוא אחר המיל' או שהי' נקבה מודה רמ"א דקוברין אותו בי"ט כמ"ש ס"ט ומ"ש בי"ד ססי' רס"ג דאין קוברים הנפלים בי"ט מיירי בנפל ודאי ובכ"ה כתב בשם ר"ש הלוי סי' י"ד דאם הוא מבן ל' ולמעלה שמתאבלין עליו מסירין ערלתו בי"ט שני של גליות ובתוספות שנ"ץ מתירין לקבור נפל גמור בי"ט עכ"ל ולי צ"ע מ"ש הג"מ דאין מצוה לקבור נפל ומביא ראי' מדאמרי' בגמ' שפחה שהטילה נפל לבור ואמרי' בור שמטילין לתוכו נפלים צ"ע דהא מ"מ קבורה היא כמ"ש הרא"ש פי"ד מ"ג באהלות ועי"ל דמיירי בנפל שהוא שפיר כדאי' בע"א ועוד דהא אמרי' בנדה דף נ"ז הכותים לא היו קוברים את הנפלים אלא משליכין מאי דרוש כל שיש לו נחלה יש לו גבול משמע דאנן לא קי"ל כוותייהו ועוד מדאיצטריך קרא בת"כ פ' אמור שאין הכהן מטמא לבנו ובתו הנפלים ש"מ שמצוה לקוברן שהרי אין הכהן מטמא אלא לצורך קבורה כמ"ש בי"ד סי' שע"ג ס"ה ועוד דבב"ב ספ"ז איתא שהיו עושין כוכין לנפלים וכ"ה בסנה' פ"ו וצ"ע דלכאורה משמע בנדה דף הנ"ל שגם על הנפלים קאי לאו דלא תלין:</w:t>
      </w:r>
    </w:p>
    <w:sectPr w:rsidR="00F5561F" w:rsidSect="00540DC0">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5E06" w14:textId="77777777" w:rsidR="00C906D1" w:rsidRDefault="00C906D1">
      <w:r>
        <w:separator/>
      </w:r>
    </w:p>
  </w:endnote>
  <w:endnote w:type="continuationSeparator" w:id="0">
    <w:p w14:paraId="43B17242" w14:textId="77777777" w:rsidR="00C906D1" w:rsidRDefault="00C9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BBEB" w14:textId="77777777" w:rsidR="00C906D1" w:rsidRDefault="00C906D1">
      <w:r>
        <w:separator/>
      </w:r>
    </w:p>
  </w:footnote>
  <w:footnote w:type="continuationSeparator" w:id="0">
    <w:p w14:paraId="2393C709" w14:textId="77777777" w:rsidR="00C906D1" w:rsidRDefault="00C9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2020-12-05T17:12:00Z</cp:lastPrinted>
  <dcterms:created xsi:type="dcterms:W3CDTF">2021-02-18T18:58:00Z</dcterms:created>
  <dcterms:modified xsi:type="dcterms:W3CDTF">2021-02-18T22:56:00Z</dcterms:modified>
</cp:coreProperties>
</file>