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60E5515D" w:rsidR="00746C02" w:rsidRPr="007E1481" w:rsidRDefault="00D036C2" w:rsidP="00087562">
      <w:pPr>
        <w:spacing w:after="120"/>
        <w:jc w:val="center"/>
        <w:rPr>
          <w:u w:val="single"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E62B0F">
        <w:rPr>
          <w:rFonts w:hint="cs"/>
          <w:u w:val="single"/>
          <w:rtl/>
        </w:rPr>
        <w:t>37</w:t>
      </w:r>
    </w:p>
    <w:p w14:paraId="2BBD814A" w14:textId="77777777" w:rsidR="005B7795" w:rsidRPr="007E1481" w:rsidRDefault="005B7795" w:rsidP="001067DC">
      <w:pPr>
        <w:spacing w:after="120"/>
        <w:jc w:val="both"/>
        <w:rPr>
          <w:rtl/>
        </w:rPr>
      </w:pPr>
    </w:p>
    <w:p w14:paraId="6012E03F" w14:textId="77777777" w:rsidR="00E62B0F" w:rsidRDefault="006B0C83" w:rsidP="00EA71BB">
      <w:pPr>
        <w:spacing w:after="120"/>
        <w:jc w:val="both"/>
        <w:rPr>
          <w:rtl/>
        </w:rPr>
      </w:pPr>
      <w:r w:rsidRPr="007E1481">
        <w:rPr>
          <w:rFonts w:hint="cs"/>
          <w:rtl/>
        </w:rPr>
        <w:t xml:space="preserve">(1) </w:t>
      </w:r>
      <w:r w:rsidR="00E62B0F">
        <w:rPr>
          <w:rFonts w:hint="cs"/>
          <w:rtl/>
        </w:rPr>
        <w:t>לסיים את המקורות מדף 36</w:t>
      </w:r>
    </w:p>
    <w:p w14:paraId="42C24CF6" w14:textId="77777777" w:rsidR="00E62B0F" w:rsidRDefault="00E62B0F" w:rsidP="00EA71BB">
      <w:pPr>
        <w:spacing w:after="120"/>
        <w:jc w:val="both"/>
        <w:rPr>
          <w:rtl/>
        </w:rPr>
      </w:pPr>
    </w:p>
    <w:p w14:paraId="061019D2" w14:textId="0ABC10EC" w:rsidR="00E62B0F" w:rsidRDefault="000972FC" w:rsidP="000972FC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 w:rsidR="00D05AE5">
        <w:rPr>
          <w:rFonts w:hint="cs"/>
          <w:rtl/>
        </w:rPr>
        <w:t xml:space="preserve"> </w:t>
      </w:r>
      <w:r w:rsidR="00E62B0F">
        <w:rPr>
          <w:rFonts w:hint="cs"/>
          <w:rtl/>
        </w:rPr>
        <w:t>בענין ברכת על נטילת לולב:</w:t>
      </w:r>
    </w:p>
    <w:p w14:paraId="48C777C1" w14:textId="5AEE5B03" w:rsidR="00AD5497" w:rsidRDefault="00015E56" w:rsidP="000972F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תוד"ה לצאת, </w:t>
      </w:r>
      <w:r w:rsidR="00AD5497">
        <w:rPr>
          <w:rFonts w:hint="cs"/>
          <w:rtl/>
        </w:rPr>
        <w:t>תוס' ר"פ "וממ"ק מלולב ... ויברך עם ההגבהה"</w:t>
      </w:r>
    </w:p>
    <w:p w14:paraId="2F2F2789" w14:textId="4326F666" w:rsidR="00E62B0F" w:rsidRDefault="00015E56" w:rsidP="000972FC">
      <w:pPr>
        <w:spacing w:after="120"/>
        <w:jc w:val="both"/>
        <w:rPr>
          <w:rtl/>
        </w:rPr>
      </w:pPr>
      <w:r>
        <w:rPr>
          <w:rFonts w:hint="cs"/>
          <w:rtl/>
        </w:rPr>
        <w:t>תוס' סוכה לט. ד"ה עובר לעשייתן, ספר הישר סוף סי' תו</w:t>
      </w:r>
    </w:p>
    <w:p w14:paraId="252FA15A" w14:textId="35775E97" w:rsidR="00015E56" w:rsidRDefault="00AD5497" w:rsidP="00015E5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ר' דוד </w:t>
      </w:r>
      <w:r w:rsidR="00015E56">
        <w:rPr>
          <w:rFonts w:hint="cs"/>
          <w:rtl/>
        </w:rPr>
        <w:t xml:space="preserve">ריטב"א </w:t>
      </w:r>
      <w:r>
        <w:rPr>
          <w:rFonts w:hint="cs"/>
          <w:rtl/>
        </w:rPr>
        <w:t>ו</w:t>
      </w:r>
      <w:r w:rsidR="00537670">
        <w:rPr>
          <w:rFonts w:hint="cs"/>
          <w:rtl/>
        </w:rPr>
        <w:t>ח</w:t>
      </w:r>
      <w:r>
        <w:rPr>
          <w:rFonts w:hint="cs"/>
          <w:rtl/>
        </w:rPr>
        <w:t xml:space="preserve">י' הר"ן </w:t>
      </w:r>
      <w:r w:rsidR="00015E56">
        <w:rPr>
          <w:rFonts w:hint="cs"/>
          <w:rtl/>
        </w:rPr>
        <w:t xml:space="preserve">ד"ה </w:t>
      </w:r>
      <w:r w:rsidR="00015E56">
        <w:rPr>
          <w:rtl/>
        </w:rPr>
        <w:t xml:space="preserve">שאני התם </w:t>
      </w:r>
      <w:proofErr w:type="spellStart"/>
      <w:r w:rsidR="00015E56">
        <w:rPr>
          <w:rtl/>
        </w:rPr>
        <w:t>דבעידנא</w:t>
      </w:r>
      <w:proofErr w:type="spellEnd"/>
      <w:r w:rsidR="00015E56">
        <w:rPr>
          <w:rtl/>
        </w:rPr>
        <w:t xml:space="preserve"> </w:t>
      </w:r>
      <w:proofErr w:type="spellStart"/>
      <w:r w:rsidR="00015E56">
        <w:rPr>
          <w:rtl/>
        </w:rPr>
        <w:t>דאגבהיה</w:t>
      </w:r>
      <w:proofErr w:type="spellEnd"/>
      <w:r w:rsidR="00015E56">
        <w:rPr>
          <w:rtl/>
        </w:rPr>
        <w:t xml:space="preserve"> נפק בי</w:t>
      </w:r>
      <w:r w:rsidR="00537670">
        <w:rPr>
          <w:rFonts w:hint="cs"/>
          <w:rtl/>
        </w:rPr>
        <w:t>ה</w:t>
      </w:r>
    </w:p>
    <w:p w14:paraId="6EA382B8" w14:textId="77777777" w:rsidR="00AD5497" w:rsidRDefault="00AD5497" w:rsidP="00AD549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הל' ברכות </w:t>
      </w:r>
      <w:proofErr w:type="spellStart"/>
      <w:r>
        <w:rPr>
          <w:rFonts w:hint="cs"/>
          <w:rtl/>
        </w:rPr>
        <w:t>יא:טו</w:t>
      </w:r>
      <w:proofErr w:type="spellEnd"/>
      <w:r>
        <w:rPr>
          <w:rFonts w:hint="cs"/>
          <w:rtl/>
        </w:rPr>
        <w:t>, הל' לולב ז:ו</w:t>
      </w:r>
    </w:p>
    <w:p w14:paraId="690B1327" w14:textId="68A8D658" w:rsidR="00015E56" w:rsidRDefault="00015E56" w:rsidP="00AD549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[בעל המאור ד"ה והלכתא, מהר"ם חלאווה </w:t>
      </w:r>
      <w:proofErr w:type="spellStart"/>
      <w:r>
        <w:rPr>
          <w:rFonts w:hint="cs"/>
          <w:rtl/>
        </w:rPr>
        <w:t>סוד"ה</w:t>
      </w:r>
      <w:proofErr w:type="spellEnd"/>
      <w:r>
        <w:rPr>
          <w:rFonts w:hint="cs"/>
          <w:rtl/>
        </w:rPr>
        <w:t xml:space="preserve"> כל המצות כולן "וברכת נטילת לולב ..."</w:t>
      </w:r>
      <w:r w:rsidR="00AD5497">
        <w:rPr>
          <w:rFonts w:hint="cs"/>
          <w:rtl/>
        </w:rPr>
        <w:t>,</w:t>
      </w:r>
      <w:r w:rsidR="00AD5497">
        <w:rPr>
          <w:rtl/>
        </w:rPr>
        <w:t xml:space="preserve"> רמב"ן </w:t>
      </w:r>
      <w:r w:rsidR="00AD5497">
        <w:rPr>
          <w:rFonts w:hint="cs"/>
          <w:rtl/>
        </w:rPr>
        <w:t>ז. "</w:t>
      </w:r>
      <w:r w:rsidR="00AD5497">
        <w:rPr>
          <w:rtl/>
        </w:rPr>
        <w:t xml:space="preserve">והא </w:t>
      </w:r>
      <w:proofErr w:type="spellStart"/>
      <w:r w:rsidR="00AD5497">
        <w:rPr>
          <w:rtl/>
        </w:rPr>
        <w:t>דאקשי</w:t>
      </w:r>
      <w:proofErr w:type="spellEnd"/>
      <w:r w:rsidR="00AD5497">
        <w:rPr>
          <w:rtl/>
        </w:rPr>
        <w:t xml:space="preserve">' מנטילת לולב </w:t>
      </w:r>
      <w:r w:rsidR="00AD5497">
        <w:rPr>
          <w:rFonts w:hint="cs"/>
          <w:rtl/>
        </w:rPr>
        <w:t xml:space="preserve">... </w:t>
      </w:r>
      <w:r w:rsidR="00AD5497">
        <w:rPr>
          <w:rtl/>
        </w:rPr>
        <w:t>וכ"כ הרב ר' משה הספרדי ז"ל</w:t>
      </w:r>
      <w:r w:rsidR="00AD5497">
        <w:rPr>
          <w:rFonts w:hint="cs"/>
          <w:rtl/>
        </w:rPr>
        <w:t>"</w:t>
      </w:r>
      <w:r>
        <w:rPr>
          <w:rFonts w:hint="cs"/>
          <w:rtl/>
        </w:rPr>
        <w:t>]</w:t>
      </w:r>
    </w:p>
    <w:p w14:paraId="779EC000" w14:textId="77777777" w:rsidR="00015E56" w:rsidRDefault="00015E56" w:rsidP="000972FC">
      <w:pPr>
        <w:spacing w:after="120"/>
        <w:jc w:val="both"/>
        <w:rPr>
          <w:rFonts w:hint="cs"/>
          <w:rtl/>
        </w:rPr>
      </w:pPr>
    </w:p>
    <w:p w14:paraId="5EC8D65C" w14:textId="728AE43A" w:rsidR="00E62B0F" w:rsidRDefault="000F3D1A" w:rsidP="000972F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נענועים, עי' חתם סופר סוכה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. ד"ה קטן היודע לנענע, וע"ע </w:t>
      </w:r>
      <w:r>
        <w:rPr>
          <w:rFonts w:hint="cs"/>
          <w:rtl/>
        </w:rPr>
        <w:t xml:space="preserve">ביאור </w:t>
      </w:r>
      <w:proofErr w:type="spellStart"/>
      <w:r>
        <w:rPr>
          <w:rFonts w:hint="cs"/>
          <w:rtl/>
        </w:rPr>
        <w:t>ריפ"פ</w:t>
      </w:r>
      <w:proofErr w:type="spellEnd"/>
      <w:r>
        <w:rPr>
          <w:rFonts w:hint="cs"/>
          <w:rtl/>
        </w:rPr>
        <w:t xml:space="preserve"> על ספר המצוות לרס"ג מצוות עשה מילואים סימן ה "ולכן נראה בזה ע"פ מה שכבר עמדו כל הראשונים ז"ל ... להסתבך בזה כלל"</w:t>
      </w:r>
      <w:r>
        <w:rPr>
          <w:rFonts w:hint="cs"/>
          <w:rtl/>
        </w:rPr>
        <w:t>]</w:t>
      </w:r>
    </w:p>
    <w:p w14:paraId="03D8C252" w14:textId="4DAF52F8" w:rsidR="000F3D1A" w:rsidRDefault="000F3D1A" w:rsidP="00284B7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כוונה שלא לצאת, עי' תוס' </w:t>
      </w:r>
      <w:proofErr w:type="spellStart"/>
      <w:r>
        <w:rPr>
          <w:rFonts w:hint="cs"/>
          <w:rtl/>
        </w:rPr>
        <w:t>קטו</w:t>
      </w:r>
      <w:proofErr w:type="spellEnd"/>
      <w:r>
        <w:rPr>
          <w:rFonts w:hint="cs"/>
          <w:rtl/>
        </w:rPr>
        <w:t xml:space="preserve">. ד"ה מתקיף לה רב חסדא, מאירי קיד: ד"ה כל שיש שם שאר ירקות; </w:t>
      </w:r>
      <w:r w:rsidR="00284B76">
        <w:rPr>
          <w:rFonts w:hint="cs"/>
          <w:rtl/>
        </w:rPr>
        <w:t xml:space="preserve">ריטב"א ר"ה </w:t>
      </w:r>
      <w:proofErr w:type="spellStart"/>
      <w:r w:rsidR="00284B76">
        <w:rPr>
          <w:rFonts w:hint="cs"/>
          <w:rtl/>
        </w:rPr>
        <w:t>כח</w:t>
      </w:r>
      <w:proofErr w:type="spellEnd"/>
      <w:r w:rsidR="00284B76">
        <w:rPr>
          <w:rFonts w:hint="cs"/>
          <w:rtl/>
        </w:rPr>
        <w:t xml:space="preserve">. ד"ה שלחו ליה </w:t>
      </w:r>
      <w:proofErr w:type="spellStart"/>
      <w:r w:rsidR="00284B76">
        <w:rPr>
          <w:rFonts w:hint="cs"/>
          <w:rtl/>
        </w:rPr>
        <w:t>וכו</w:t>
      </w:r>
      <w:proofErr w:type="spellEnd"/>
      <w:r w:rsidR="00284B76">
        <w:rPr>
          <w:rFonts w:hint="cs"/>
          <w:rtl/>
        </w:rPr>
        <w:t xml:space="preserve">', ר"ן שם (דף ז: באלפס) ריש ד"ה גרסי' בגמרא שלחו ליה, </w:t>
      </w:r>
      <w:r w:rsidR="00537670">
        <w:rPr>
          <w:rFonts w:hint="cs"/>
          <w:rtl/>
        </w:rPr>
        <w:t xml:space="preserve">שם </w:t>
      </w:r>
      <w:r w:rsidR="00284B76">
        <w:rPr>
          <w:rFonts w:hint="cs"/>
          <w:rtl/>
        </w:rPr>
        <w:t xml:space="preserve">ריש ד"ה אבל דעת הרבה מן הגאונים, מגיד משנה הל' שופר ב:ד, </w:t>
      </w:r>
      <w:r w:rsidR="00284B76">
        <w:rPr>
          <w:rtl/>
        </w:rPr>
        <w:t>הקדמה לבית הבחירה למאירי</w:t>
      </w:r>
      <w:r w:rsidR="00284B76">
        <w:rPr>
          <w:rFonts w:hint="cs"/>
          <w:rtl/>
        </w:rPr>
        <w:t xml:space="preserve"> "</w:t>
      </w:r>
      <w:r w:rsidR="00284B76">
        <w:rPr>
          <w:rtl/>
        </w:rPr>
        <w:t xml:space="preserve">ואולם צריך שאעירך בזה על כל פנים על אמרם ז"ל בתלמוד מאמר מוחלט מצות אין צריכות כונה </w:t>
      </w:r>
      <w:r w:rsidR="00284B76">
        <w:rPr>
          <w:rFonts w:hint="cs"/>
          <w:rtl/>
        </w:rPr>
        <w:t xml:space="preserve">... </w:t>
      </w:r>
      <w:r w:rsidR="00284B76">
        <w:rPr>
          <w:rtl/>
        </w:rPr>
        <w:t>טעמה כי טוב סחרה</w:t>
      </w:r>
      <w:r w:rsidR="00284B76">
        <w:rPr>
          <w:rFonts w:hint="cs"/>
          <w:rtl/>
        </w:rPr>
        <w:t>"]</w:t>
      </w:r>
    </w:p>
    <w:p w14:paraId="18DA0C5F" w14:textId="475E6E13" w:rsidR="00BA534B" w:rsidRDefault="00BA534B" w:rsidP="009904F8">
      <w:pPr>
        <w:spacing w:after="120"/>
        <w:jc w:val="both"/>
        <w:rPr>
          <w:rtl/>
        </w:rPr>
      </w:pPr>
    </w:p>
    <w:p w14:paraId="67AE0460" w14:textId="77777777" w:rsidR="00E62B0F" w:rsidRDefault="00E62B0F" w:rsidP="009904F8">
      <w:pPr>
        <w:spacing w:after="120"/>
        <w:jc w:val="both"/>
        <w:rPr>
          <w:rtl/>
        </w:rPr>
      </w:pPr>
    </w:p>
    <w:p w14:paraId="31FA5BCB" w14:textId="77777777" w:rsidR="00015E56" w:rsidRPr="00015E56" w:rsidRDefault="00015E56" w:rsidP="00015E56">
      <w:pPr>
        <w:autoSpaceDE w:val="0"/>
        <w:autoSpaceDN w:val="0"/>
        <w:adjustRightInd w:val="0"/>
        <w:jc w:val="both"/>
        <w:rPr>
          <w:u w:val="single"/>
          <w:rtl/>
        </w:rPr>
      </w:pPr>
      <w:r w:rsidRPr="00015E56">
        <w:rPr>
          <w:u w:val="single"/>
          <w:rtl/>
        </w:rPr>
        <w:t xml:space="preserve">ספר הישר </w:t>
      </w:r>
      <w:proofErr w:type="spellStart"/>
      <w:r w:rsidRPr="00015E56">
        <w:rPr>
          <w:u w:val="single"/>
          <w:rtl/>
        </w:rPr>
        <w:t>לר"ת</w:t>
      </w:r>
      <w:proofErr w:type="spellEnd"/>
      <w:r w:rsidRPr="00015E56">
        <w:rPr>
          <w:u w:val="single"/>
          <w:rtl/>
        </w:rPr>
        <w:t xml:space="preserve"> (חלק החידושים) סימן תו</w:t>
      </w:r>
    </w:p>
    <w:p w14:paraId="6CA03DBB" w14:textId="77777777" w:rsidR="00015E56" w:rsidRDefault="00015E56" w:rsidP="00015E5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>+פסחים ז' ב' (סי' של"א, ל"ד ב')+</w:t>
      </w:r>
    </w:p>
    <w:p w14:paraId="6FD9E2CD" w14:textId="5A6D179B" w:rsidR="0002374B" w:rsidRDefault="00015E56" w:rsidP="00015E5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פסחים פר' קמא. כל (הברכות) [המצוות] כולן מברך עליהן קודם לעשייתן. והכי אמר לי מורי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טובל וטובלת צריך לברך קודם טבילה </w:t>
      </w:r>
      <w:proofErr w:type="spellStart"/>
      <w:r>
        <w:rPr>
          <w:rtl/>
        </w:rPr>
        <w:t>ויכולין</w:t>
      </w:r>
      <w:proofErr w:type="spellEnd"/>
      <w:r>
        <w:rPr>
          <w:rtl/>
        </w:rPr>
        <w:t xml:space="preserve"> לברך אף על פי שלא טיהרו </w:t>
      </w:r>
      <w:proofErr w:type="spellStart"/>
      <w:r>
        <w:rPr>
          <w:rtl/>
        </w:rPr>
        <w:t>וראויין</w:t>
      </w:r>
      <w:proofErr w:type="spellEnd"/>
      <w:r>
        <w:rPr>
          <w:rtl/>
        </w:rPr>
        <w:t xml:space="preserve"> הן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חזינן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דזבין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ומצורעין</w:t>
      </w:r>
      <w:proofErr w:type="spellEnd"/>
      <w:r>
        <w:rPr>
          <w:rtl/>
        </w:rPr>
        <w:t xml:space="preserve"> ובועלי נידות </w:t>
      </w:r>
      <w:proofErr w:type="spellStart"/>
      <w:r>
        <w:rPr>
          <w:rtl/>
        </w:rPr>
        <w:t>דמותרין</w:t>
      </w:r>
      <w:proofErr w:type="spellEnd"/>
      <w:r>
        <w:rPr>
          <w:rtl/>
        </w:rPr>
        <w:t xml:space="preserve"> לקרות בתורה ולברך ולהתפלל </w:t>
      </w:r>
      <w:proofErr w:type="spellStart"/>
      <w:r>
        <w:rPr>
          <w:rtl/>
        </w:rPr>
        <w:t>ומחוייבין</w:t>
      </w:r>
      <w:proofErr w:type="spellEnd"/>
      <w:r>
        <w:rPr>
          <w:rtl/>
        </w:rPr>
        <w:t xml:space="preserve"> בכל מצות האמורות בתורה </w:t>
      </w:r>
      <w:proofErr w:type="spellStart"/>
      <w:r>
        <w:rPr>
          <w:rtl/>
        </w:rPr>
        <w:t>כטהורין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גמורין</w:t>
      </w:r>
      <w:proofErr w:type="spellEnd"/>
      <w:r>
        <w:rPr>
          <w:rtl/>
        </w:rPr>
        <w:t xml:space="preserve"> דאין דברי תורה מקבלין טומאה. והא דאמרינן בפסחים כל המצות כולן מברך עליהן כו' חוץ מן הטבילה. ומפרש התם טעמא מאי משום </w:t>
      </w:r>
      <w:proofErr w:type="spellStart"/>
      <w:r>
        <w:rPr>
          <w:rtl/>
        </w:rPr>
        <w:t>דאכתי</w:t>
      </w:r>
      <w:proofErr w:type="spellEnd"/>
      <w:r>
        <w:rPr>
          <w:rtl/>
        </w:rPr>
        <w:t xml:space="preserve"> גברא לא חזי והיאך מברך. המורה אמר </w:t>
      </w:r>
      <w:proofErr w:type="spellStart"/>
      <w:r>
        <w:rPr>
          <w:rtl/>
        </w:rPr>
        <w:t>דשאלו</w:t>
      </w:r>
      <w:proofErr w:type="spellEnd"/>
      <w:r>
        <w:rPr>
          <w:rtl/>
        </w:rPr>
        <w:t xml:space="preserve"> לרב האיי גאון על הלכה זו שהיו </w:t>
      </w:r>
      <w:proofErr w:type="spellStart"/>
      <w:r>
        <w:rPr>
          <w:rtl/>
        </w:rPr>
        <w:t>תמהין</w:t>
      </w:r>
      <w:proofErr w:type="spellEnd"/>
      <w:r>
        <w:rPr>
          <w:rtl/>
        </w:rPr>
        <w:t xml:space="preserve"> משום טומאה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אין ראוי לברך על הטבילה קודם שיטבול. והשיב להם </w:t>
      </w:r>
      <w:proofErr w:type="spellStart"/>
      <w:r>
        <w:rPr>
          <w:rtl/>
        </w:rPr>
        <w:t>דמצות</w:t>
      </w:r>
      <w:proofErr w:type="spellEnd"/>
      <w:r>
        <w:rPr>
          <w:rtl/>
        </w:rPr>
        <w:t xml:space="preserve"> טבילה לבעלי </w:t>
      </w:r>
      <w:proofErr w:type="spellStart"/>
      <w:r>
        <w:rPr>
          <w:rtl/>
        </w:rPr>
        <w:t>קריים</w:t>
      </w:r>
      <w:proofErr w:type="spellEnd"/>
      <w:r>
        <w:rPr>
          <w:rtl/>
        </w:rPr>
        <w:t xml:space="preserve"> ולבועלי נידות בכלל כל המצות כולן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עובר לעשייתן. וההיא </w:t>
      </w:r>
      <w:proofErr w:type="spellStart"/>
      <w:r>
        <w:rPr>
          <w:rtl/>
        </w:rPr>
        <w:t>דפסחים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מוכחא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דמברכין</w:t>
      </w:r>
      <w:proofErr w:type="spellEnd"/>
      <w:r>
        <w:rPr>
          <w:rtl/>
        </w:rPr>
        <w:t xml:space="preserve"> קודם טבילה) בגר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דאכתי</w:t>
      </w:r>
      <w:proofErr w:type="spellEnd"/>
      <w:r>
        <w:rPr>
          <w:rtl/>
        </w:rPr>
        <w:t xml:space="preserve"> קודם טבילה לא חזי למימר אשר קדשנו במצותיו </w:t>
      </w:r>
      <w:proofErr w:type="spellStart"/>
      <w:r>
        <w:rPr>
          <w:rtl/>
        </w:rPr>
        <w:t>וצונו</w:t>
      </w:r>
      <w:proofErr w:type="spellEnd"/>
      <w:r>
        <w:rPr>
          <w:rtl/>
        </w:rPr>
        <w:t xml:space="preserve"> על הטבילה </w:t>
      </w:r>
      <w:proofErr w:type="spellStart"/>
      <w:r>
        <w:rPr>
          <w:rtl/>
        </w:rPr>
        <w:t>דעדיין</w:t>
      </w:r>
      <w:proofErr w:type="spellEnd"/>
      <w:r>
        <w:rPr>
          <w:rtl/>
        </w:rPr>
        <w:t xml:space="preserve"> כל זמן שלא נטהר אינו מצווה ואינו ישראל. וכן פס' הלכה בפר"ח. והרב ר' יעקב והרב ר' שמשון הודו כך </w:t>
      </w:r>
      <w:proofErr w:type="spellStart"/>
      <w:r>
        <w:rPr>
          <w:rtl/>
        </w:rPr>
        <w:t>דמותר</w:t>
      </w:r>
      <w:proofErr w:type="spellEnd"/>
      <w:r>
        <w:rPr>
          <w:rtl/>
        </w:rPr>
        <w:t xml:space="preserve"> לפרסם ולהורות הדבר כי חילול השם הוא שטובלות ומעכבות עד אחר קיום המצוות כי [מה] </w:t>
      </w:r>
      <w:proofErr w:type="spellStart"/>
      <w:r>
        <w:rPr>
          <w:rtl/>
        </w:rPr>
        <w:t>נשתנית</w:t>
      </w:r>
      <w:proofErr w:type="spellEnd"/>
      <w:r>
        <w:rPr>
          <w:rtl/>
        </w:rPr>
        <w:t xml:space="preserve"> ברכה זו מכל הברכות. וגם מה שנהגו העם [לברך] אחר נטילת ידים טעות הוא בידם.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למיפרך</w:t>
      </w:r>
      <w:proofErr w:type="spellEnd"/>
      <w:r>
        <w:rPr>
          <w:rtl/>
        </w:rPr>
        <w:t xml:space="preserve"> ההיא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בשילהי</w:t>
      </w:r>
      <w:proofErr w:type="spellEnd"/>
      <w:r>
        <w:rPr>
          <w:rtl/>
        </w:rPr>
        <w:t xml:space="preserve"> מרובה עזרא תיקן טבילה לבעלי קריין מדאורייתא ורחץ את בשרו במים לתרומה ולקדשי' ואתא איהו תיקן אף לדברי תורה. וכי מאחר </w:t>
      </w:r>
      <w:proofErr w:type="spellStart"/>
      <w:r>
        <w:rPr>
          <w:rtl/>
        </w:rPr>
        <w:t>דעזרא</w:t>
      </w:r>
      <w:proofErr w:type="spellEnd"/>
      <w:r>
        <w:rPr>
          <w:rtl/>
        </w:rPr>
        <w:t xml:space="preserve"> תיקן הכי היכי מצי ר' יהודה </w:t>
      </w:r>
      <w:proofErr w:type="spellStart"/>
      <w:r>
        <w:rPr>
          <w:rtl/>
        </w:rPr>
        <w:t>למישרייה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וליכ</w:t>
      </w:r>
      <w:proofErr w:type="spellEnd"/>
      <w:r>
        <w:rPr>
          <w:rtl/>
        </w:rPr>
        <w:t xml:space="preserve">' למימר </w:t>
      </w:r>
      <w:proofErr w:type="spellStart"/>
      <w:r>
        <w:rPr>
          <w:rtl/>
        </w:rPr>
        <w:t>דלתפילה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דבהדיא</w:t>
      </w:r>
      <w:proofErr w:type="spellEnd"/>
      <w:r>
        <w:rPr>
          <w:rtl/>
        </w:rPr>
        <w:t xml:space="preserve"> אמרי' במי שמת </w:t>
      </w:r>
      <w:proofErr w:type="spellStart"/>
      <w:r>
        <w:rPr>
          <w:rtl/>
        </w:rPr>
        <w:t>דשרא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לההוא</w:t>
      </w:r>
      <w:proofErr w:type="spellEnd"/>
      <w:r>
        <w:rPr>
          <w:rtl/>
        </w:rPr>
        <w:t xml:space="preserve"> גברא דהוה [מגמגם] עליה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קרי בתורה ואמר לו פתח פיך ויאירו דבריך. אלמא </w:t>
      </w:r>
      <w:proofErr w:type="spellStart"/>
      <w:r>
        <w:rPr>
          <w:rtl/>
        </w:rPr>
        <w:t>דבתורה</w:t>
      </w:r>
      <w:proofErr w:type="spellEnd"/>
      <w:r>
        <w:rPr>
          <w:rtl/>
        </w:rPr>
        <w:t xml:space="preserve"> ממש שרייה </w:t>
      </w:r>
      <w:proofErr w:type="spellStart"/>
      <w:r>
        <w:rPr>
          <w:rtl/>
        </w:rPr>
        <w:t>למיקרי</w:t>
      </w:r>
      <w:proofErr w:type="spellEnd"/>
      <w:r>
        <w:rPr>
          <w:rtl/>
        </w:rPr>
        <w:t xml:space="preserve"> והיכי עביד הכי והא אין ב"ד יכול לבטל דברי ב"ד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אלא א"כ גדול הימנו בחכמה </w:t>
      </w:r>
      <w:proofErr w:type="spellStart"/>
      <w:r>
        <w:rPr>
          <w:rtl/>
        </w:rPr>
        <w:t>ובמנין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והאידנא</w:t>
      </w:r>
      <w:proofErr w:type="spellEnd"/>
      <w:r>
        <w:rPr>
          <w:rtl/>
        </w:rPr>
        <w:t xml:space="preserve"> היכי </w:t>
      </w:r>
      <w:proofErr w:type="spellStart"/>
      <w:r>
        <w:rPr>
          <w:rtl/>
        </w:rPr>
        <w:t>קיימ</w:t>
      </w:r>
      <w:proofErr w:type="spellEnd"/>
      <w:r>
        <w:rPr>
          <w:rtl/>
        </w:rPr>
        <w:t xml:space="preserve">' כוותי'. יש לומר שמא לא פשטה תקנת עזרא בכל ישראל [והגוי כולו לא הוה ביה] אי נמי כשהתיר ר' יהודה ראה שהשעה צריכה לכך. (והגוי כולו לא הוה ביה) וכי האי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מתרצינן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פירכי</w:t>
      </w:r>
      <w:proofErr w:type="spellEnd"/>
      <w:r>
        <w:rPr>
          <w:rtl/>
        </w:rPr>
        <w:t xml:space="preserve"> באין </w:t>
      </w:r>
      <w:proofErr w:type="spellStart"/>
      <w:r>
        <w:rPr>
          <w:rtl/>
        </w:rPr>
        <w:t>מעמידין</w:t>
      </w:r>
      <w:proofErr w:type="spellEnd"/>
      <w:r>
        <w:rPr>
          <w:rtl/>
        </w:rPr>
        <w:t xml:space="preserve"> בע"ז. ויש מקשים על הא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הברכות כולן מברך עליהן עובר לעשייתן חוץ מן הטבילה ותו ליכא והא איכא לולב </w:t>
      </w:r>
      <w:proofErr w:type="spellStart"/>
      <w:r>
        <w:rPr>
          <w:rtl/>
        </w:rPr>
        <w:t>דמברכין</w:t>
      </w:r>
      <w:proofErr w:type="spellEnd"/>
      <w:r>
        <w:rPr>
          <w:rtl/>
        </w:rPr>
        <w:t xml:space="preserve"> עליו בתר </w:t>
      </w:r>
      <w:proofErr w:type="spellStart"/>
      <w:r>
        <w:rPr>
          <w:rtl/>
        </w:rPr>
        <w:t>דנפקי</w:t>
      </w:r>
      <w:proofErr w:type="spellEnd"/>
      <w:r>
        <w:rPr>
          <w:rtl/>
        </w:rPr>
        <w:t xml:space="preserve"> ביה. </w:t>
      </w:r>
      <w:proofErr w:type="spellStart"/>
      <w:r>
        <w:rPr>
          <w:rtl/>
        </w:rPr>
        <w:t>ואית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דמתרצי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למיעבד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ניענוע</w:t>
      </w:r>
      <w:proofErr w:type="spellEnd"/>
      <w:r>
        <w:rPr>
          <w:rtl/>
        </w:rPr>
        <w:t xml:space="preserve"> שירי מצוה </w:t>
      </w:r>
      <w:proofErr w:type="spellStart"/>
      <w:r>
        <w:rPr>
          <w:rtl/>
        </w:rPr>
        <w:t>מעכבין</w:t>
      </w:r>
      <w:proofErr w:type="spellEnd"/>
      <w:r>
        <w:rPr>
          <w:rtl/>
        </w:rPr>
        <w:t xml:space="preserve"> ועובר לעשייתן הוא. ולא </w:t>
      </w:r>
      <w:proofErr w:type="spellStart"/>
      <w:r>
        <w:rPr>
          <w:rtl/>
        </w:rPr>
        <w:t>נהירא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פליגי בשירי מצוה </w:t>
      </w:r>
      <w:proofErr w:type="spellStart"/>
      <w:r>
        <w:rPr>
          <w:rtl/>
        </w:rPr>
        <w:t>מעכבין</w:t>
      </w:r>
      <w:proofErr w:type="spellEnd"/>
      <w:r>
        <w:rPr>
          <w:rtl/>
        </w:rPr>
        <w:t xml:space="preserve">. אלא איכא למימר </w:t>
      </w:r>
      <w:proofErr w:type="spellStart"/>
      <w:r>
        <w:rPr>
          <w:rtl/>
        </w:rPr>
        <w:t>דמצוה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לנוטלו</w:t>
      </w:r>
      <w:proofErr w:type="spellEnd"/>
      <w:r>
        <w:rPr>
          <w:rtl/>
        </w:rPr>
        <w:t xml:space="preserve"> שלא כדרך גדילתו ואח"כ </w:t>
      </w:r>
      <w:proofErr w:type="spellStart"/>
      <w:r>
        <w:rPr>
          <w:rtl/>
        </w:rPr>
        <w:t>נוטלו</w:t>
      </w:r>
      <w:proofErr w:type="spellEnd"/>
      <w:r>
        <w:rPr>
          <w:rtl/>
        </w:rPr>
        <w:t xml:space="preserve"> [ו]מברך בו. </w:t>
      </w:r>
      <w:proofErr w:type="spellStart"/>
      <w:r>
        <w:rPr>
          <w:rtl/>
        </w:rPr>
        <w:t>ונוטלו</w:t>
      </w:r>
      <w:proofErr w:type="spellEnd"/>
      <w:r>
        <w:rPr>
          <w:rtl/>
        </w:rPr>
        <w:t xml:space="preserve"> אחרי כן כדרכו. הא לברוכי ביה קודם </w:t>
      </w:r>
      <w:proofErr w:type="spellStart"/>
      <w:r>
        <w:rPr>
          <w:rtl/>
        </w:rPr>
        <w:t>שיטלנו</w:t>
      </w:r>
      <w:proofErr w:type="spellEnd"/>
      <w:r>
        <w:rPr>
          <w:rtl/>
        </w:rPr>
        <w:t xml:space="preserve"> אסור דילמא פשע ולא </w:t>
      </w:r>
      <w:proofErr w:type="spellStart"/>
      <w:r>
        <w:rPr>
          <w:rtl/>
        </w:rPr>
        <w:t>יטלנו</w:t>
      </w:r>
      <w:proofErr w:type="spellEnd"/>
      <w:r>
        <w:rPr>
          <w:rtl/>
        </w:rPr>
        <w:t xml:space="preserve"> ואפיק שם שמים לבטלה. וכי האי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אמרי' בנדרים דלא לימא </w:t>
      </w:r>
      <w:proofErr w:type="spellStart"/>
      <w:r>
        <w:rPr>
          <w:rtl/>
        </w:rPr>
        <w:t>איניש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ליזל</w:t>
      </w:r>
      <w:proofErr w:type="spellEnd"/>
      <w:r>
        <w:rPr>
          <w:rtl/>
        </w:rPr>
        <w:t xml:space="preserve">) [לה'] קרבן דילמא פשע </w:t>
      </w:r>
      <w:proofErr w:type="spellStart"/>
      <w:r>
        <w:rPr>
          <w:rtl/>
        </w:rPr>
        <w:t>וכו</w:t>
      </w:r>
      <w:proofErr w:type="spellEnd"/>
      <w:r>
        <w:rPr>
          <w:rtl/>
        </w:rPr>
        <w:t>'.</w:t>
      </w:r>
    </w:p>
    <w:sectPr w:rsidR="0002374B" w:rsidSect="00BA534B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36B3" w14:textId="77777777" w:rsidR="00FB28FD" w:rsidRDefault="00FB28FD">
      <w:r>
        <w:separator/>
      </w:r>
    </w:p>
  </w:endnote>
  <w:endnote w:type="continuationSeparator" w:id="0">
    <w:p w14:paraId="495523D4" w14:textId="77777777" w:rsidR="00FB28FD" w:rsidRDefault="00F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073A" w14:textId="77777777" w:rsidR="00FB28FD" w:rsidRDefault="00FB28FD">
      <w:r>
        <w:separator/>
      </w:r>
    </w:p>
  </w:footnote>
  <w:footnote w:type="continuationSeparator" w:id="0">
    <w:p w14:paraId="3EE74136" w14:textId="77777777" w:rsidR="00FB28FD" w:rsidRDefault="00FB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5FDC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3035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F42"/>
    <w:rsid w:val="000F61AD"/>
    <w:rsid w:val="000F6360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1469"/>
    <w:rsid w:val="001D1604"/>
    <w:rsid w:val="001D1649"/>
    <w:rsid w:val="001D18C6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5C2B"/>
    <w:rsid w:val="00266693"/>
    <w:rsid w:val="00266A74"/>
    <w:rsid w:val="00267305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75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DD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A09"/>
    <w:rsid w:val="00327BED"/>
    <w:rsid w:val="003306CE"/>
    <w:rsid w:val="003306D7"/>
    <w:rsid w:val="00330906"/>
    <w:rsid w:val="00330A7B"/>
    <w:rsid w:val="00330BF5"/>
    <w:rsid w:val="003310B0"/>
    <w:rsid w:val="00331D49"/>
    <w:rsid w:val="00331E7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47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773B"/>
    <w:rsid w:val="00400703"/>
    <w:rsid w:val="00400A2E"/>
    <w:rsid w:val="00400BDF"/>
    <w:rsid w:val="00401388"/>
    <w:rsid w:val="0040175F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1D"/>
    <w:rsid w:val="0046214A"/>
    <w:rsid w:val="00462381"/>
    <w:rsid w:val="004623CD"/>
    <w:rsid w:val="00462A6A"/>
    <w:rsid w:val="00463855"/>
    <w:rsid w:val="00465240"/>
    <w:rsid w:val="00466021"/>
    <w:rsid w:val="004663FB"/>
    <w:rsid w:val="004666D4"/>
    <w:rsid w:val="00467281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04D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116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93C"/>
    <w:rsid w:val="00516C37"/>
    <w:rsid w:val="0051793E"/>
    <w:rsid w:val="00517AAA"/>
    <w:rsid w:val="00520899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9D1"/>
    <w:rsid w:val="00567CE6"/>
    <w:rsid w:val="00567F41"/>
    <w:rsid w:val="00567FE2"/>
    <w:rsid w:val="00570065"/>
    <w:rsid w:val="005701A3"/>
    <w:rsid w:val="005703D7"/>
    <w:rsid w:val="005704C0"/>
    <w:rsid w:val="0057068F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DC7"/>
    <w:rsid w:val="00612EAF"/>
    <w:rsid w:val="00612F02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546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6CF"/>
    <w:rsid w:val="00630740"/>
    <w:rsid w:val="00630B1E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5F60"/>
    <w:rsid w:val="006865E4"/>
    <w:rsid w:val="00686A3F"/>
    <w:rsid w:val="006870D2"/>
    <w:rsid w:val="00687289"/>
    <w:rsid w:val="00687444"/>
    <w:rsid w:val="00687524"/>
    <w:rsid w:val="00690226"/>
    <w:rsid w:val="006902F6"/>
    <w:rsid w:val="00690772"/>
    <w:rsid w:val="00690A62"/>
    <w:rsid w:val="006916BF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0C83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C5E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E36"/>
    <w:rsid w:val="007B61CF"/>
    <w:rsid w:val="007B6760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48C"/>
    <w:rsid w:val="008C25C7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C4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8A8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622C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22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1502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1C24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45E"/>
    <w:rsid w:val="00BA35F2"/>
    <w:rsid w:val="00BA36C8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B3F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689"/>
    <w:rsid w:val="00C31AF8"/>
    <w:rsid w:val="00C31BEE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F40"/>
    <w:rsid w:val="00C903A8"/>
    <w:rsid w:val="00C906B0"/>
    <w:rsid w:val="00C90E2C"/>
    <w:rsid w:val="00C90F2F"/>
    <w:rsid w:val="00C91793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53F5"/>
    <w:rsid w:val="00D9555F"/>
    <w:rsid w:val="00D95FB1"/>
    <w:rsid w:val="00D96C08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5BA0"/>
    <w:rsid w:val="00DB65EB"/>
    <w:rsid w:val="00DB66C4"/>
    <w:rsid w:val="00DB6720"/>
    <w:rsid w:val="00DB6ACA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8E1"/>
    <w:rsid w:val="00E13A3C"/>
    <w:rsid w:val="00E13B0C"/>
    <w:rsid w:val="00E13B64"/>
    <w:rsid w:val="00E14384"/>
    <w:rsid w:val="00E143C9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1E97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995"/>
    <w:rsid w:val="00E26AB3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351"/>
    <w:rsid w:val="00EC055D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438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8B"/>
    <w:rsid w:val="00F24B95"/>
    <w:rsid w:val="00F2503A"/>
    <w:rsid w:val="00F25082"/>
    <w:rsid w:val="00F25DE2"/>
    <w:rsid w:val="00F260BE"/>
    <w:rsid w:val="00F26291"/>
    <w:rsid w:val="00F300DA"/>
    <w:rsid w:val="00F30A6C"/>
    <w:rsid w:val="00F30EA6"/>
    <w:rsid w:val="00F3126A"/>
    <w:rsid w:val="00F3156A"/>
    <w:rsid w:val="00F31DF4"/>
    <w:rsid w:val="00F31EDE"/>
    <w:rsid w:val="00F320E0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11A"/>
    <w:rsid w:val="00F84981"/>
    <w:rsid w:val="00F84B0A"/>
    <w:rsid w:val="00F8521F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7B3"/>
    <w:rsid w:val="00FA0987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5247"/>
    <w:rsid w:val="00FD53BE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6</cp:revision>
  <cp:lastPrinted>2020-12-05T17:12:00Z</cp:lastPrinted>
  <dcterms:created xsi:type="dcterms:W3CDTF">2021-02-01T12:33:00Z</dcterms:created>
  <dcterms:modified xsi:type="dcterms:W3CDTF">2021-02-01T23:31:00Z</dcterms:modified>
</cp:coreProperties>
</file>