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1F963B43" w:rsidR="001E0305" w:rsidRPr="00037654" w:rsidRDefault="00D036C2" w:rsidP="00C76D11">
      <w:pPr>
        <w:spacing w:after="120"/>
        <w:ind w:left="720" w:firstLine="7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4C377E">
        <w:rPr>
          <w:u w:val="single"/>
        </w:rPr>
        <w:t>15</w:t>
      </w:r>
    </w:p>
    <w:p w14:paraId="4F5D0EAE" w14:textId="77777777" w:rsidR="00FE42D5" w:rsidRDefault="00FE42D5" w:rsidP="00DC23B2">
      <w:pPr>
        <w:spacing w:after="120"/>
        <w:jc w:val="both"/>
        <w:rPr>
          <w:rtl/>
        </w:rPr>
      </w:pPr>
    </w:p>
    <w:p w14:paraId="72AB11F6" w14:textId="0F01B3D8" w:rsidR="00DC23B2" w:rsidRDefault="007A0C11" w:rsidP="00DC23B2">
      <w:pPr>
        <w:spacing w:after="120"/>
        <w:jc w:val="both"/>
        <w:rPr>
          <w:rtl/>
        </w:rPr>
      </w:pPr>
      <w:r>
        <w:rPr>
          <w:rFonts w:hint="cs"/>
          <w:rtl/>
        </w:rPr>
        <w:t xml:space="preserve">(1) </w:t>
      </w:r>
      <w:r w:rsidR="0015006A">
        <w:rPr>
          <w:rFonts w:hint="cs"/>
          <w:rtl/>
        </w:rPr>
        <w:t>לסיים את המקורות מד</w:t>
      </w:r>
      <w:r w:rsidR="004C377E">
        <w:rPr>
          <w:rFonts w:hint="cs"/>
          <w:rtl/>
        </w:rPr>
        <w:t>ף 14</w:t>
      </w:r>
    </w:p>
    <w:p w14:paraId="7FFB249C" w14:textId="2E7E2308" w:rsidR="00DB45F9" w:rsidRDefault="00DB45F9" w:rsidP="00DC23B2">
      <w:pPr>
        <w:spacing w:after="120"/>
        <w:jc w:val="both"/>
        <w:rPr>
          <w:rtl/>
        </w:rPr>
      </w:pPr>
    </w:p>
    <w:p w14:paraId="020E4962" w14:textId="5333E54F" w:rsidR="004C377E" w:rsidRDefault="001F2510" w:rsidP="00DC23B2">
      <w:pPr>
        <w:spacing w:after="120"/>
        <w:jc w:val="both"/>
        <w:rPr>
          <w:rtl/>
        </w:rPr>
      </w:pPr>
      <w:r>
        <w:rPr>
          <w:rFonts w:hint="cs"/>
          <w:rtl/>
        </w:rPr>
        <w:t xml:space="preserve">(2) </w:t>
      </w:r>
      <w:r w:rsidR="004C377E">
        <w:rPr>
          <w:rFonts w:hint="cs"/>
          <w:rtl/>
        </w:rPr>
        <w:t>בענין מחלוקת ר"מ וחכמים:</w:t>
      </w:r>
    </w:p>
    <w:p w14:paraId="7BA5BC9C" w14:textId="77777777" w:rsidR="002E6964" w:rsidRDefault="000F6360" w:rsidP="004118EE">
      <w:pPr>
        <w:spacing w:after="120"/>
        <w:jc w:val="both"/>
        <w:rPr>
          <w:rtl/>
        </w:rPr>
      </w:pPr>
      <w:r>
        <w:rPr>
          <w:rFonts w:hint="cs"/>
          <w:rtl/>
        </w:rPr>
        <w:t xml:space="preserve">במה נחלקו ר"מ וחכמים?  </w:t>
      </w:r>
      <w:r w:rsidR="002E6964">
        <w:rPr>
          <w:rFonts w:hint="cs"/>
          <w:rtl/>
        </w:rPr>
        <w:t xml:space="preserve">לפי כל אחת מהשיטות, </w:t>
      </w:r>
      <w:r>
        <w:rPr>
          <w:rFonts w:hint="cs"/>
          <w:rtl/>
        </w:rPr>
        <w:t>מה הדין אם חזר</w:t>
      </w:r>
      <w:r w:rsidR="002E6964">
        <w:rPr>
          <w:rFonts w:hint="cs"/>
          <w:rtl/>
        </w:rPr>
        <w:t xml:space="preserve"> ונתן לה ואמר בנב"נ, ומה הדין אם לא עשה כך?</w:t>
      </w:r>
    </w:p>
    <w:p w14:paraId="71E1F241" w14:textId="20419473" w:rsidR="00C40B84" w:rsidRDefault="004118EE" w:rsidP="004118EE">
      <w:pPr>
        <w:spacing w:after="120"/>
        <w:jc w:val="both"/>
        <w:rPr>
          <w:rtl/>
        </w:rPr>
      </w:pPr>
      <w:r>
        <w:rPr>
          <w:rFonts w:hint="cs"/>
          <w:rtl/>
        </w:rPr>
        <w:t>תוס' ו</w:t>
      </w:r>
      <w:r w:rsidR="001E0D9B">
        <w:rPr>
          <w:rFonts w:hint="cs"/>
          <w:rtl/>
        </w:rPr>
        <w:t>רשב"א ד"ה כיצד יעשה, ריטב"א ד"ה והא דאמרינן כיצד יעשה</w:t>
      </w:r>
    </w:p>
    <w:p w14:paraId="08F0F95E" w14:textId="49FDE2C9" w:rsidR="00C608F8" w:rsidRDefault="00C40B84" w:rsidP="004118EE">
      <w:pPr>
        <w:spacing w:after="120"/>
        <w:jc w:val="both"/>
        <w:rPr>
          <w:rtl/>
        </w:rPr>
      </w:pPr>
      <w:r>
        <w:rPr>
          <w:rFonts w:hint="cs"/>
          <w:rtl/>
        </w:rPr>
        <w:t xml:space="preserve">תוס' </w:t>
      </w:r>
      <w:r w:rsidR="004118EE">
        <w:rPr>
          <w:rFonts w:hint="cs"/>
          <w:rtl/>
        </w:rPr>
        <w:t>רי"ד "</w:t>
      </w:r>
      <w:r w:rsidR="004118EE">
        <w:rPr>
          <w:rtl/>
        </w:rPr>
        <w:t>תניא כותיה דר' יוחנן</w:t>
      </w:r>
      <w:r w:rsidR="004118EE">
        <w:rPr>
          <w:rFonts w:hint="cs"/>
          <w:rtl/>
        </w:rPr>
        <w:t xml:space="preserve"> ...</w:t>
      </w:r>
      <w:r w:rsidR="004118EE">
        <w:rPr>
          <w:rtl/>
        </w:rPr>
        <w:t xml:space="preserve"> ואומ' לה בפני נכתב ובפני נחתם</w:t>
      </w:r>
      <w:r>
        <w:rPr>
          <w:rFonts w:hint="cs"/>
          <w:rtl/>
        </w:rPr>
        <w:t>"</w:t>
      </w:r>
    </w:p>
    <w:p w14:paraId="75B24D18" w14:textId="72877F84" w:rsidR="004C377E" w:rsidRDefault="00C608F8" w:rsidP="00DC23B2">
      <w:pPr>
        <w:spacing w:after="120"/>
        <w:jc w:val="both"/>
        <w:rPr>
          <w:rtl/>
        </w:rPr>
      </w:pPr>
      <w:r>
        <w:rPr>
          <w:rFonts w:hint="cs"/>
          <w:rtl/>
        </w:rPr>
        <w:t>תוס' הרא"ש וחידושים המיוחסים לריטב"א ב"מ נה: ד"ה כיצד יעשה</w:t>
      </w:r>
    </w:p>
    <w:p w14:paraId="65B5DB72" w14:textId="5557E649" w:rsidR="004C377E" w:rsidRDefault="000F6360" w:rsidP="000F6360">
      <w:pPr>
        <w:spacing w:after="120"/>
        <w:jc w:val="both"/>
        <w:rPr>
          <w:rtl/>
        </w:rPr>
      </w:pPr>
      <w:r>
        <w:rPr>
          <w:rFonts w:hint="cs"/>
          <w:rtl/>
        </w:rPr>
        <w:t>לפי חכמים, אם נישאת האם תצא</w:t>
      </w:r>
      <w:r w:rsidR="002E6964">
        <w:rPr>
          <w:rFonts w:hint="cs"/>
          <w:rtl/>
        </w:rPr>
        <w:t xml:space="preserve"> מבעלה</w:t>
      </w:r>
      <w:r>
        <w:rPr>
          <w:rFonts w:hint="cs"/>
          <w:rtl/>
        </w:rPr>
        <w:t>?</w:t>
      </w:r>
      <w:r w:rsidR="004B2F6D">
        <w:rPr>
          <w:rFonts w:hint="cs"/>
          <w:rtl/>
        </w:rPr>
        <w:t xml:space="preserve"> רמב"ם גירושין ז:יז, שם י:ב [ועי' עוד ברמב"ן דף פו. </w:t>
      </w:r>
      <w:r>
        <w:rPr>
          <w:rFonts w:hint="cs"/>
          <w:rtl/>
        </w:rPr>
        <w:t xml:space="preserve">ד"ה </w:t>
      </w:r>
      <w:r>
        <w:rPr>
          <w:rtl/>
        </w:rPr>
        <w:t>מדאקשינן והא איכא גט קר</w:t>
      </w:r>
      <w:r>
        <w:rPr>
          <w:rFonts w:hint="cs"/>
          <w:rtl/>
        </w:rPr>
        <w:t>ח,</w:t>
      </w:r>
      <w:r>
        <w:rPr>
          <w:rtl/>
        </w:rPr>
        <w:t xml:space="preserve"> </w:t>
      </w:r>
      <w:r w:rsidR="004B2F6D">
        <w:rPr>
          <w:rFonts w:hint="cs"/>
          <w:rtl/>
        </w:rPr>
        <w:t>ובחידושים מכתב-יד דף פו:</w:t>
      </w:r>
      <w:r>
        <w:rPr>
          <w:rFonts w:hint="cs"/>
          <w:rtl/>
        </w:rPr>
        <w:t xml:space="preserve"> ד"ה ולוי אמר לעולם לא תצא.</w:t>
      </w:r>
      <w:r w:rsidR="004B2F6D">
        <w:rPr>
          <w:rFonts w:hint="cs"/>
          <w:rtl/>
        </w:rPr>
        <w:t xml:space="preserve"> ואכמ"ל]</w:t>
      </w:r>
    </w:p>
    <w:p w14:paraId="7E9D321D" w14:textId="7B879BCE" w:rsidR="004B2F6D" w:rsidRDefault="004B2F6D" w:rsidP="00DC23B2">
      <w:pPr>
        <w:spacing w:after="120"/>
        <w:jc w:val="both"/>
        <w:rPr>
          <w:rtl/>
        </w:rPr>
      </w:pPr>
      <w:r>
        <w:rPr>
          <w:rFonts w:hint="cs"/>
          <w:rtl/>
        </w:rPr>
        <w:t>[האם קיי"ל כר"מ או כחכמים? עי' רשב"א ד"ה וכתב ר"ח ז"ל]</w:t>
      </w:r>
    </w:p>
    <w:p w14:paraId="1C711BD5" w14:textId="5359110F" w:rsidR="004B2F6D" w:rsidRDefault="00523EF4" w:rsidP="00DC23B2">
      <w:pPr>
        <w:spacing w:after="120"/>
        <w:jc w:val="both"/>
        <w:rPr>
          <w:rtl/>
        </w:rPr>
      </w:pPr>
      <w:r>
        <w:rPr>
          <w:rFonts w:hint="cs"/>
          <w:rtl/>
        </w:rPr>
        <w:t>[האם הגט פסול מדאורייתא לפי ר"מ? עי' רש"י עט:</w:t>
      </w:r>
      <w:r>
        <w:rPr>
          <w:rFonts w:hint="cs"/>
        </w:rPr>
        <w:t xml:space="preserve"> </w:t>
      </w:r>
      <w:r>
        <w:rPr>
          <w:rFonts w:hint="cs"/>
          <w:rtl/>
        </w:rPr>
        <w:t>ד"ה תצא מזה ומזה, תוס' שם ד"ה וצריכה, פני יהושע על תוס' שם</w:t>
      </w:r>
      <w:r w:rsidR="00FE42D5">
        <w:rPr>
          <w:rFonts w:hint="cs"/>
          <w:rtl/>
        </w:rPr>
        <w:t>]</w:t>
      </w:r>
    </w:p>
    <w:p w14:paraId="1AF047DD" w14:textId="77777777" w:rsidR="00FE42D5" w:rsidRDefault="00FE42D5" w:rsidP="00DC23B2">
      <w:pPr>
        <w:spacing w:after="120"/>
        <w:jc w:val="both"/>
      </w:pPr>
    </w:p>
    <w:p w14:paraId="4732237B" w14:textId="2AF33C09" w:rsidR="00034695" w:rsidRDefault="008C1FE9" w:rsidP="00DC23B2">
      <w:pPr>
        <w:spacing w:after="120"/>
        <w:jc w:val="both"/>
        <w:rPr>
          <w:rtl/>
        </w:rPr>
      </w:pPr>
      <w:r>
        <w:rPr>
          <w:rFonts w:hint="cs"/>
          <w:rtl/>
        </w:rPr>
        <w:t>(3)</w:t>
      </w:r>
      <w:r>
        <w:rPr>
          <w:rFonts w:hint="cs"/>
        </w:rPr>
        <w:t xml:space="preserve"> </w:t>
      </w:r>
      <w:r w:rsidR="00034695">
        <w:rPr>
          <w:rFonts w:hint="cs"/>
          <w:rtl/>
        </w:rPr>
        <w:t xml:space="preserve">"יטלנו הימנה ויחזור ויתננו לה" </w:t>
      </w:r>
      <w:r w:rsidR="00034695">
        <w:rPr>
          <w:rtl/>
        </w:rPr>
        <w:t>–</w:t>
      </w:r>
      <w:r w:rsidR="00034695">
        <w:rPr>
          <w:rFonts w:hint="cs"/>
          <w:rtl/>
        </w:rPr>
        <w:t xml:space="preserve"> למה צריך לחזור וליתנו לה?  מה המעמד של אמירת בנב"נ בלי נתינת גט, ושל נתינת גט בלי אמירת בנב"נ?</w:t>
      </w:r>
    </w:p>
    <w:p w14:paraId="4C74B6C6" w14:textId="77B6B5CA" w:rsidR="00034695" w:rsidRDefault="00034695" w:rsidP="00DC23B2">
      <w:pPr>
        <w:spacing w:after="120"/>
        <w:jc w:val="both"/>
        <w:rPr>
          <w:rtl/>
        </w:rPr>
      </w:pPr>
      <w:r>
        <w:rPr>
          <w:rFonts w:hint="cs"/>
          <w:rtl/>
        </w:rPr>
        <w:t>תוס' רי"ד כאן "תניא כותיה ... לישנא אחרינא", מאירי ד"ה ממה שכתבנו</w:t>
      </w:r>
    </w:p>
    <w:p w14:paraId="3A669F71" w14:textId="77777777" w:rsidR="008C1FE9" w:rsidRDefault="008C1FE9" w:rsidP="008C1FE9">
      <w:pPr>
        <w:spacing w:after="120"/>
        <w:jc w:val="both"/>
        <w:rPr>
          <w:rtl/>
        </w:rPr>
      </w:pPr>
      <w:r>
        <w:rPr>
          <w:rFonts w:hint="cs"/>
          <w:rtl/>
        </w:rPr>
        <w:t>ריטב"א ד"ה והא דאמרינן כיצד יעשה</w:t>
      </w:r>
    </w:p>
    <w:p w14:paraId="268EF888" w14:textId="1B8BC8B8" w:rsidR="00832940" w:rsidRDefault="00034695" w:rsidP="00DC23B2">
      <w:pPr>
        <w:spacing w:after="120"/>
        <w:jc w:val="both"/>
        <w:rPr>
          <w:rtl/>
        </w:rPr>
      </w:pPr>
      <w:r>
        <w:rPr>
          <w:rFonts w:hint="cs"/>
          <w:rtl/>
        </w:rPr>
        <w:t>תוס' פד</w:t>
      </w:r>
      <w:r w:rsidR="00FE42D5">
        <w:rPr>
          <w:rFonts w:hint="cs"/>
          <w:rtl/>
        </w:rPr>
        <w:t>:</w:t>
      </w:r>
      <w:r>
        <w:rPr>
          <w:rFonts w:hint="cs"/>
          <w:rtl/>
        </w:rPr>
        <w:t xml:space="preserve"> ד"ה אמר</w:t>
      </w:r>
      <w:r w:rsidR="00832940">
        <w:rPr>
          <w:rFonts w:hint="cs"/>
          <w:rtl/>
        </w:rPr>
        <w:t xml:space="preserve"> (ע"פ הברייתא בדף עח. "תניא נמי הכי ... ויאמר לה הא גיטך")</w:t>
      </w:r>
    </w:p>
    <w:p w14:paraId="376902FD" w14:textId="336AE2E3" w:rsidR="00034695" w:rsidRDefault="00832940" w:rsidP="00DC23B2">
      <w:pPr>
        <w:spacing w:after="120"/>
        <w:jc w:val="both"/>
        <w:rPr>
          <w:rtl/>
        </w:rPr>
      </w:pPr>
      <w:r>
        <w:rPr>
          <w:rFonts w:hint="cs"/>
          <w:rtl/>
        </w:rPr>
        <w:t>מרדכי סי' שמג</w:t>
      </w:r>
    </w:p>
    <w:p w14:paraId="72750AB2" w14:textId="0CEB488D" w:rsidR="00034695" w:rsidRDefault="00034695" w:rsidP="00DC23B2">
      <w:pPr>
        <w:spacing w:after="120"/>
        <w:jc w:val="both"/>
        <w:rPr>
          <w:rtl/>
        </w:rPr>
      </w:pPr>
      <w:r>
        <w:rPr>
          <w:rFonts w:hint="cs"/>
          <w:rtl/>
        </w:rPr>
        <w:t>שו"ת ריב"ש סי' מג "</w:t>
      </w:r>
      <w:r w:rsidR="00B03A76">
        <w:rPr>
          <w:rtl/>
        </w:rPr>
        <w:t>ואם הי' שנתנו לה</w:t>
      </w:r>
      <w:r w:rsidR="00B03A76">
        <w:rPr>
          <w:rFonts w:hint="cs"/>
          <w:rtl/>
        </w:rPr>
        <w:t xml:space="preserve"> </w:t>
      </w:r>
      <w:r w:rsidR="008C1FE9">
        <w:rPr>
          <w:rFonts w:hint="cs"/>
          <w:rtl/>
        </w:rPr>
        <w:t>... נאמן לןמר בפ"נ ובפ"נ"</w:t>
      </w:r>
    </w:p>
    <w:p w14:paraId="394AF6EE" w14:textId="00DF94E4" w:rsidR="00832940" w:rsidRDefault="00832940" w:rsidP="00832940">
      <w:pPr>
        <w:spacing w:after="120"/>
        <w:jc w:val="both"/>
        <w:rPr>
          <w:rtl/>
        </w:rPr>
      </w:pPr>
      <w:r>
        <w:rPr>
          <w:rFonts w:hint="cs"/>
          <w:rtl/>
        </w:rPr>
        <w:t>שו"ת ספר הישר סי' כו "</w:t>
      </w:r>
      <w:r>
        <w:rPr>
          <w:rtl/>
        </w:rPr>
        <w:t>ועוד אף לדברי המקנתר</w:t>
      </w:r>
      <w:r w:rsidR="00B023F1">
        <w:rPr>
          <w:rFonts w:hint="cs"/>
          <w:rtl/>
        </w:rPr>
        <w:t xml:space="preserve"> ..."</w:t>
      </w:r>
    </w:p>
    <w:p w14:paraId="437BDCF8" w14:textId="714D1267" w:rsidR="008C1FE9" w:rsidRDefault="008C1FE9" w:rsidP="008C1FE9">
      <w:pPr>
        <w:spacing w:after="120"/>
        <w:jc w:val="both"/>
        <w:rPr>
          <w:rtl/>
        </w:rPr>
      </w:pPr>
      <w:r>
        <w:rPr>
          <w:rFonts w:hint="cs"/>
          <w:rtl/>
        </w:rPr>
        <w:t>תוספתא גיטין ב:</w:t>
      </w:r>
      <w:r w:rsidR="004348C4">
        <w:rPr>
          <w:rFonts w:hint="cs"/>
          <w:rtl/>
        </w:rPr>
        <w:t>א-</w:t>
      </w:r>
      <w:r>
        <w:rPr>
          <w:rFonts w:hint="cs"/>
          <w:rtl/>
        </w:rPr>
        <w:t>ב</w:t>
      </w:r>
      <w:r w:rsidR="004348C4">
        <w:rPr>
          <w:rFonts w:hint="cs"/>
          <w:rtl/>
        </w:rPr>
        <w:t>. מה יסוד המחלוקת בענין גט שנתקרע?</w:t>
      </w:r>
    </w:p>
    <w:p w14:paraId="4398428B" w14:textId="77777777" w:rsidR="00034695" w:rsidRPr="00034695" w:rsidRDefault="00034695" w:rsidP="00DC23B2">
      <w:pPr>
        <w:spacing w:after="120"/>
        <w:jc w:val="both"/>
        <w:rPr>
          <w:rtl/>
        </w:rPr>
      </w:pPr>
    </w:p>
    <w:p w14:paraId="133F7EFA" w14:textId="3BA2E67C" w:rsidR="006262A7" w:rsidRDefault="008C1FE9" w:rsidP="00DC23B2">
      <w:pPr>
        <w:spacing w:after="120"/>
        <w:jc w:val="both"/>
        <w:rPr>
          <w:rtl/>
        </w:rPr>
      </w:pPr>
      <w:r>
        <w:rPr>
          <w:rFonts w:hint="cs"/>
          <w:rtl/>
        </w:rPr>
        <w:t>(4)</w:t>
      </w:r>
      <w:r>
        <w:rPr>
          <w:rFonts w:hint="cs"/>
        </w:rPr>
        <w:t xml:space="preserve"> </w:t>
      </w:r>
      <w:r w:rsidR="006262A7">
        <w:rPr>
          <w:rFonts w:hint="cs"/>
          <w:rtl/>
        </w:rPr>
        <w:t>בענין אמירת בנב"נ ע"י שליח קבלה או האשה עצמה:</w:t>
      </w:r>
    </w:p>
    <w:p w14:paraId="184E914C" w14:textId="17FB8BDF" w:rsidR="004B2F6D" w:rsidRDefault="006262A7" w:rsidP="00DC23B2">
      <w:pPr>
        <w:spacing w:after="120"/>
        <w:jc w:val="both"/>
        <w:rPr>
          <w:rtl/>
        </w:rPr>
      </w:pPr>
      <w:r>
        <w:rPr>
          <w:rFonts w:hint="cs"/>
          <w:rtl/>
        </w:rPr>
        <w:t>רש"י ב. ד"ה צריך, ר"ן דף ב. באלפס ד"ה וכתב רש"י ז"ל במשנתינו</w:t>
      </w:r>
    </w:p>
    <w:p w14:paraId="2831A0DC" w14:textId="6E5BFF53" w:rsidR="007A744F" w:rsidRDefault="007A744F" w:rsidP="00DC23B2">
      <w:pPr>
        <w:spacing w:after="120"/>
        <w:jc w:val="both"/>
        <w:rPr>
          <w:rtl/>
        </w:rPr>
      </w:pPr>
      <w:r>
        <w:rPr>
          <w:rFonts w:hint="cs"/>
          <w:rtl/>
        </w:rPr>
        <w:t>מאירי דף ו. ד"ה מכל מה שכתבנו</w:t>
      </w:r>
      <w:bookmarkStart w:id="0" w:name="_GoBack"/>
      <w:bookmarkEnd w:id="0"/>
    </w:p>
    <w:p w14:paraId="57FDAD21" w14:textId="45953CAF" w:rsidR="006262A7" w:rsidRDefault="006262A7" w:rsidP="00DC23B2">
      <w:pPr>
        <w:spacing w:after="120"/>
        <w:jc w:val="both"/>
        <w:rPr>
          <w:rtl/>
        </w:rPr>
      </w:pPr>
      <w:r>
        <w:rPr>
          <w:rFonts w:hint="cs"/>
          <w:rtl/>
        </w:rPr>
        <w:t>רמב"ם גירושין יב:ב, ראב"ד שם</w:t>
      </w:r>
    </w:p>
    <w:p w14:paraId="0945CFC2" w14:textId="46CE2B57" w:rsidR="006262A7" w:rsidRDefault="006262A7" w:rsidP="006262A7">
      <w:pPr>
        <w:spacing w:after="120"/>
        <w:jc w:val="both"/>
        <w:rPr>
          <w:rtl/>
        </w:rPr>
      </w:pPr>
      <w:r>
        <w:rPr>
          <w:rFonts w:hint="cs"/>
          <w:rtl/>
        </w:rPr>
        <w:t xml:space="preserve">גמ' דף כד. "האשה עצמה ... עד דמטית להתם", רשב"א שם ד"ה אשה מכי </w:t>
      </w:r>
      <w:r>
        <w:rPr>
          <w:rtl/>
        </w:rPr>
        <w:t xml:space="preserve">מטי גיטא לידה איגרשא לה </w:t>
      </w:r>
      <w:r>
        <w:rPr>
          <w:rFonts w:hint="cs"/>
          <w:rtl/>
        </w:rPr>
        <w:t xml:space="preserve"> </w:t>
      </w:r>
    </w:p>
    <w:p w14:paraId="6E617076" w14:textId="2EB0361D" w:rsidR="001E5607" w:rsidRDefault="001E5607" w:rsidP="006262A7">
      <w:pPr>
        <w:spacing w:after="120"/>
        <w:jc w:val="both"/>
        <w:rPr>
          <w:rtl/>
        </w:rPr>
      </w:pPr>
      <w:r>
        <w:rPr>
          <w:rFonts w:hint="cs"/>
          <w:rtl/>
        </w:rPr>
        <w:t>[שו"ת רמב"ן סי' עו]</w:t>
      </w:r>
    </w:p>
    <w:p w14:paraId="0083FEE4" w14:textId="1B1800BF" w:rsidR="004C377E" w:rsidRDefault="004C377E" w:rsidP="000B3E19">
      <w:pPr>
        <w:jc w:val="both"/>
        <w:rPr>
          <w:rtl/>
        </w:rPr>
      </w:pPr>
    </w:p>
    <w:p w14:paraId="02E1703D" w14:textId="77777777" w:rsidR="00B03A76" w:rsidRDefault="00B03A76" w:rsidP="000B3E19">
      <w:pPr>
        <w:jc w:val="both"/>
        <w:rPr>
          <w:rtl/>
        </w:rPr>
      </w:pPr>
    </w:p>
    <w:p w14:paraId="343721DD" w14:textId="77777777" w:rsidR="00FE42D5" w:rsidRPr="00FE42D5" w:rsidRDefault="00FE42D5">
      <w:pPr>
        <w:bidi w:val="0"/>
        <w:rPr>
          <w:rtl/>
        </w:rPr>
      </w:pPr>
      <w:r w:rsidRPr="00FE42D5">
        <w:rPr>
          <w:rtl/>
        </w:rPr>
        <w:br w:type="page"/>
      </w:r>
    </w:p>
    <w:p w14:paraId="039CFE85" w14:textId="4008FF4E" w:rsidR="004C377E" w:rsidRPr="004C377E" w:rsidRDefault="004C377E" w:rsidP="004C377E">
      <w:pPr>
        <w:jc w:val="both"/>
        <w:rPr>
          <w:u w:val="single"/>
          <w:rtl/>
        </w:rPr>
      </w:pPr>
      <w:r w:rsidRPr="004C377E">
        <w:rPr>
          <w:u w:val="single"/>
          <w:rtl/>
        </w:rPr>
        <w:lastRenderedPageBreak/>
        <w:t>תוספות הרא"ש מסכת בבא מציעא דף נה עמוד ב</w:t>
      </w:r>
    </w:p>
    <w:p w14:paraId="266CD91F" w14:textId="38DCD429" w:rsidR="00472910" w:rsidRDefault="004C377E" w:rsidP="004C377E">
      <w:pPr>
        <w:jc w:val="both"/>
        <w:rPr>
          <w:rtl/>
        </w:rPr>
      </w:pPr>
      <w:r>
        <w:rPr>
          <w:rtl/>
        </w:rPr>
        <w:t>כיצד יעשה יטלנו הימנה וכו'. אדרבנן קאי כלומר כיצד יעשה שתנשא לכתחילה בגט זה אי נמי אם נשאת לא תצא, אי נמי קאי אר' מאיר וקודם נשואין אבל אחר נשואין אין תקנה לר' מאיר דמסתבר כיון דהולד ממזר א"כ כל הדרכים האלו בה ותצא מזה ומזה ככל הנהו דתנן בפרק הזורק (פ' א'), ואית ספרים דגרסי אלא כיצד יעשה, ולפי גירסא זו קאי אר' מאיר אלא כיצד יעשה שלא יהא הולד ממזר אם נשאת, אי נמי יש לפרש דקאי ארבנן אבל אם לא היה עושה כן אפילו רבנן מודו דהוי ממזר, והא דפריך ולר' מאיר משום דלא אמר בפני נכתב יוציא והולד ממזר דוקא לר' מאיר מתמה דכי לא אמר מתחלתו שוב אין לו תקנה.</w:t>
      </w:r>
    </w:p>
    <w:p w14:paraId="52DB2FCA" w14:textId="3DC52C3A" w:rsidR="004C377E" w:rsidRDefault="004C377E" w:rsidP="00472910">
      <w:pPr>
        <w:jc w:val="both"/>
        <w:rPr>
          <w:rtl/>
        </w:rPr>
      </w:pPr>
    </w:p>
    <w:p w14:paraId="6521B06C" w14:textId="77777777" w:rsidR="00C608F8" w:rsidRPr="00C608F8" w:rsidRDefault="00C608F8" w:rsidP="00C608F8">
      <w:pPr>
        <w:jc w:val="both"/>
        <w:rPr>
          <w:u w:val="single"/>
          <w:rtl/>
        </w:rPr>
      </w:pPr>
      <w:r w:rsidRPr="00C608F8">
        <w:rPr>
          <w:u w:val="single"/>
          <w:rtl/>
        </w:rPr>
        <w:t>חידושי הריטב"א (מיוחס לו) מסכת בבא מציעא דף נה עמוד ב</w:t>
      </w:r>
    </w:p>
    <w:p w14:paraId="503E90B9" w14:textId="7370EFFF" w:rsidR="004C377E" w:rsidRDefault="00C608F8" w:rsidP="00C608F8">
      <w:pPr>
        <w:jc w:val="both"/>
        <w:rPr>
          <w:rtl/>
        </w:rPr>
      </w:pPr>
      <w:r>
        <w:rPr>
          <w:rtl/>
        </w:rPr>
        <w:t xml:space="preserve">כיצד יעשה יטלנה הימנה וכו' אית דמפרשי דאין הוולד </w:t>
      </w:r>
      <w:r>
        <w:rPr>
          <w:rFonts w:hint="cs"/>
          <w:rtl/>
        </w:rPr>
        <w:t>(</w:t>
      </w:r>
      <w:r>
        <w:rPr>
          <w:rtl/>
        </w:rPr>
        <w:t>סמיך</w:t>
      </w:r>
      <w:r>
        <w:rPr>
          <w:rFonts w:hint="cs"/>
          <w:rtl/>
        </w:rPr>
        <w:t>) [ממזר]</w:t>
      </w:r>
      <w:r>
        <w:rPr>
          <w:rtl/>
        </w:rPr>
        <w:t xml:space="preserve"> בכי האי גוונא שיטלה ממנה ויחזור ויתננה לה וכו'. אבל אם הי' הולד נולד קודם שיעשה זה ודאי הולד ממזר. ואית דמפרשי דהכי קאמר אין הוולד ממזר לעולם אבל כיצד יעשה שיקיימנה בכשרות יטלנו ממנה וכו':</w:t>
      </w:r>
    </w:p>
    <w:p w14:paraId="4EB3F861" w14:textId="694C8D0F" w:rsidR="008C1FE9" w:rsidRDefault="008C1FE9" w:rsidP="00C608F8">
      <w:pPr>
        <w:jc w:val="both"/>
        <w:rPr>
          <w:rtl/>
        </w:rPr>
      </w:pPr>
    </w:p>
    <w:p w14:paraId="0A3346EB" w14:textId="77777777" w:rsidR="008C1FE9" w:rsidRPr="008C1FE9" w:rsidRDefault="008C1FE9" w:rsidP="008C1FE9">
      <w:pPr>
        <w:jc w:val="both"/>
        <w:rPr>
          <w:u w:val="single"/>
          <w:rtl/>
        </w:rPr>
      </w:pPr>
      <w:r w:rsidRPr="008C1FE9">
        <w:rPr>
          <w:u w:val="single"/>
          <w:rtl/>
        </w:rPr>
        <w:t>שו"ת הריב"ש סימן מג</w:t>
      </w:r>
    </w:p>
    <w:p w14:paraId="38CC60E6" w14:textId="5FB097DD" w:rsidR="008C1FE9" w:rsidRDefault="00B03A76" w:rsidP="008C1FE9">
      <w:pPr>
        <w:jc w:val="both"/>
        <w:rPr>
          <w:rtl/>
        </w:rPr>
      </w:pPr>
      <w:r>
        <w:rPr>
          <w:rFonts w:hint="cs"/>
          <w:rtl/>
        </w:rPr>
        <w:t>...</w:t>
      </w:r>
      <w:r w:rsidR="008C1FE9">
        <w:rPr>
          <w:rtl/>
        </w:rPr>
        <w:t xml:space="preserve"> ואם הי' שנתנו לה השליח ולא אמר בפ"נ =בפני נכתב= ובפ"נ =ובפני נחתם= אז מלבד זה צריך שיתקיים הגט בחותמיו. כדתניא (גיטין ה) המביא גט ממ"ה =ממדינת הים= נתנו לה ולא אמר בפ"נ =בפני נכתב= ובפ"נ =ובפני נחתם= אם נתקיים בחותמיו כשר. הא לא הוצרכו לומ' בפ"נ ובפ"נ להחמיר עלי' כלומר שאף כשיש עידי קיום יהא צריך עוד לומר בפ"נ ובפ"נ אלא להקל עליה שלא תזקק לעידי קיום. אבל אם נתקיים הגט בחותמיו א"צ לומר בפ"נ ובפ"נ. והתקנה שהזכירו בגמרא בברייתא המביא גט ממ"ה נתנו לה ולא אמר לה בפ"נ ובפ"נ וכו' כיצד יעשה, יטלנו ממנה ויחזור ויתננו לה בפני שנים ויאמר בפ"נ ובפ"נ. זאת התקנה אין לה מקום בכאן. דכיון שמת הבעל בטל השליחות ומעתה אין השליח נאמן לומר בפ"נ ובפ"נ.</w:t>
      </w:r>
      <w:r w:rsidR="008C1FE9">
        <w:rPr>
          <w:rFonts w:hint="cs"/>
          <w:rtl/>
        </w:rPr>
        <w:t>..</w:t>
      </w:r>
    </w:p>
    <w:p w14:paraId="14BEE99B" w14:textId="7B149D7F" w:rsidR="00832940" w:rsidRDefault="00832940" w:rsidP="008C1FE9">
      <w:pPr>
        <w:jc w:val="both"/>
        <w:rPr>
          <w:rtl/>
        </w:rPr>
      </w:pPr>
    </w:p>
    <w:p w14:paraId="179419CF" w14:textId="77777777" w:rsidR="00832940" w:rsidRPr="00832940" w:rsidRDefault="00832940" w:rsidP="00832940">
      <w:pPr>
        <w:jc w:val="both"/>
        <w:rPr>
          <w:u w:val="single"/>
          <w:rtl/>
        </w:rPr>
      </w:pPr>
      <w:r w:rsidRPr="00832940">
        <w:rPr>
          <w:u w:val="single"/>
          <w:rtl/>
        </w:rPr>
        <w:t>ספר הישר (חלק התשובות) סימן כו</w:t>
      </w:r>
    </w:p>
    <w:p w14:paraId="60EB0832" w14:textId="0D0FE264" w:rsidR="00832940" w:rsidRDefault="00832940" w:rsidP="00832940">
      <w:pPr>
        <w:jc w:val="both"/>
        <w:rPr>
          <w:rtl/>
        </w:rPr>
      </w:pPr>
      <w:r>
        <w:rPr>
          <w:rFonts w:hint="cs"/>
          <w:rtl/>
        </w:rPr>
        <w:t xml:space="preserve">... </w:t>
      </w:r>
      <w:r>
        <w:rPr>
          <w:rtl/>
        </w:rPr>
        <w:t>ועוד אף לדברי המקנתר אותם העדים שכתבו גט הראשון יחזרו עוד ויכתבו גט אחר ברצונו, שהרי כל זמן שלא ביטל שליחותו, אם טעו כותבין והולכין ונותנין. ומילתא דשכיחא ופשיטא היא, שאם אמר לשנים כתבו ותנו גט לאשתי והם הולכין וכותבין שלא כדינו שחוזרין וכותבין אותו כדינו. וכעין ששנינו מי שנתן גט לאשה ולא אמר בפני נכתב ובפני נחתם כיצד יעשה יחזור ויטלנו המינה /הימנה/ ויאמר לה וכו', ואין לנו לחוש לומר שמא ביטלו, דגילוי דעת בגיטין לאו מילתא היא. ואמרינן בפני כמה מבטלין רב נחמן אמר בפני שניים וכו' ועד שיפרש ויאמר לעדים ביטלתי אותו אינו בטל. והדברים ברורים נכוחים צרופים ובחונים ומזוקקים בעליל לארץ.</w:t>
      </w:r>
    </w:p>
    <w:p w14:paraId="356CDB1D" w14:textId="2C1EB7A3" w:rsidR="001E5607" w:rsidRDefault="001E5607" w:rsidP="00832940">
      <w:pPr>
        <w:jc w:val="both"/>
        <w:rPr>
          <w:rtl/>
        </w:rPr>
      </w:pPr>
    </w:p>
    <w:p w14:paraId="1F0B005D" w14:textId="77777777" w:rsidR="001E5607" w:rsidRPr="001E5607" w:rsidRDefault="001E5607" w:rsidP="001E5607">
      <w:pPr>
        <w:jc w:val="both"/>
        <w:rPr>
          <w:u w:val="single"/>
          <w:rtl/>
        </w:rPr>
      </w:pPr>
      <w:r w:rsidRPr="001E5607">
        <w:rPr>
          <w:u w:val="single"/>
          <w:rtl/>
        </w:rPr>
        <w:t>שו"ת הרמב"ן סימן עו</w:t>
      </w:r>
    </w:p>
    <w:p w14:paraId="0419A1FE" w14:textId="77777777" w:rsidR="001E5607" w:rsidRDefault="001E5607" w:rsidP="001E5607">
      <w:pPr>
        <w:jc w:val="both"/>
        <w:rPr>
          <w:rtl/>
        </w:rPr>
      </w:pPr>
      <w:r>
        <w:rPr>
          <w:rtl/>
        </w:rPr>
        <w:t xml:space="preserve">ושאלת בשליח קבלה שיוצא הגט מתחת ידו ויאמר בפני נכתב ובפני נחתם. אם יתקיים הגט על פיו דאי אתי בעל ומערער לא משגחינן ביה או לא? </w:t>
      </w:r>
    </w:p>
    <w:p w14:paraId="3177A25C" w14:textId="66683535" w:rsidR="001E5607" w:rsidRDefault="001E5607" w:rsidP="001E5607">
      <w:pPr>
        <w:jc w:val="both"/>
        <w:rPr>
          <w:rtl/>
        </w:rPr>
      </w:pPr>
      <w:r>
        <w:rPr>
          <w:rtl/>
        </w:rPr>
        <w:t>תשובה יראה לי שכל זמן שהגט יוצא מתחת ידו נאמן. חדא דטעמא דהימנותא דשליח משום דאמרי' כיון דאמ' מר בפני כמה נותנו לה בפני שנים או בפני שלשה. מידק דייק ולא אתי לאורועי נפשיה. והאי טעמא אפי' בשליח קבלה נמי איתיה ואף על גב דאגרשא לה משעת קבלה. ועוד קבלה ממה שאמרו בהמביא גט נתנו לה ולא אמ' בפני נכתב ובפני נחתם וכו'. והא דתנן האשה מביאה את גיטה וכו' והוינן בה מכי מטי גיטא לידה איגרשה לה. אסיפא פירכא כלומ' אמאי צריכה לומ' בפני נכתב וכו' וכן פרש"י. הא אלו עבדא אהניא. תדע דהא אוקימנא לה בגמ' דאמרה ליה את הוי שליח להולכה עד דמטית התם וכו' מילתא כדאית'. לא /ולא/ מצרכינן לה עדים דאמ' לה בעל הכי ושויא שליח בהני גונא. ואמאי ליחוש דלמ' לא היו דברים בעולם. ולקיומי גיטא בעיא דאי אתי בעל ומערער לא משגחינן ביה. אלא שאם באה נמי ואמרה גרשני ממש ובפני נכתב ובפני נחתם נאמנת היא.</w:t>
      </w:r>
    </w:p>
    <w:sectPr w:rsidR="001E5607" w:rsidSect="001E5607">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DF323" w14:textId="77777777" w:rsidR="000E17EE" w:rsidRDefault="000E17EE">
      <w:r>
        <w:separator/>
      </w:r>
    </w:p>
  </w:endnote>
  <w:endnote w:type="continuationSeparator" w:id="0">
    <w:p w14:paraId="360039BF" w14:textId="77777777" w:rsidR="000E17EE" w:rsidRDefault="000E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20E5C" w14:textId="77777777" w:rsidR="000E17EE" w:rsidRDefault="000E17EE">
      <w:r>
        <w:separator/>
      </w:r>
    </w:p>
  </w:footnote>
  <w:footnote w:type="continuationSeparator" w:id="0">
    <w:p w14:paraId="4165AF90" w14:textId="77777777" w:rsidR="000E17EE" w:rsidRDefault="000E1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4695"/>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A0"/>
    <w:rsid w:val="000965F3"/>
    <w:rsid w:val="00097325"/>
    <w:rsid w:val="00097DDF"/>
    <w:rsid w:val="000A046D"/>
    <w:rsid w:val="000A0B66"/>
    <w:rsid w:val="000A0DDE"/>
    <w:rsid w:val="000A1A38"/>
    <w:rsid w:val="000A1E20"/>
    <w:rsid w:val="000A2999"/>
    <w:rsid w:val="000A2A09"/>
    <w:rsid w:val="000A2B77"/>
    <w:rsid w:val="000A2E50"/>
    <w:rsid w:val="000A2E59"/>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3E19"/>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6E03"/>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5E5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688"/>
    <w:rsid w:val="001E2681"/>
    <w:rsid w:val="001E26CA"/>
    <w:rsid w:val="001E3E3C"/>
    <w:rsid w:val="001E475E"/>
    <w:rsid w:val="001E524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F05"/>
    <w:rsid w:val="001F3A88"/>
    <w:rsid w:val="001F3B84"/>
    <w:rsid w:val="001F3FD7"/>
    <w:rsid w:val="001F4388"/>
    <w:rsid w:val="001F4497"/>
    <w:rsid w:val="001F4B8E"/>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BAB"/>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3D9F"/>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9F"/>
    <w:rsid w:val="003221DD"/>
    <w:rsid w:val="0032316E"/>
    <w:rsid w:val="00323581"/>
    <w:rsid w:val="00323735"/>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2F6D"/>
    <w:rsid w:val="004B343F"/>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AA"/>
    <w:rsid w:val="00524D8B"/>
    <w:rsid w:val="0052523E"/>
    <w:rsid w:val="005257B1"/>
    <w:rsid w:val="005262C1"/>
    <w:rsid w:val="005266B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37C1B"/>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172"/>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913"/>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4B6F"/>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02A"/>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E27"/>
    <w:rsid w:val="007214E8"/>
    <w:rsid w:val="007216C8"/>
    <w:rsid w:val="00721788"/>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5E9"/>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C11"/>
    <w:rsid w:val="007A1307"/>
    <w:rsid w:val="007A141E"/>
    <w:rsid w:val="007A14E0"/>
    <w:rsid w:val="007A157A"/>
    <w:rsid w:val="007A1816"/>
    <w:rsid w:val="007A1D7B"/>
    <w:rsid w:val="007A1E4F"/>
    <w:rsid w:val="007A2153"/>
    <w:rsid w:val="007A3239"/>
    <w:rsid w:val="007A3DD2"/>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F0C"/>
    <w:rsid w:val="007B1144"/>
    <w:rsid w:val="007B149D"/>
    <w:rsid w:val="007B1EE1"/>
    <w:rsid w:val="007B1F3A"/>
    <w:rsid w:val="007B23B7"/>
    <w:rsid w:val="007B3735"/>
    <w:rsid w:val="007B4344"/>
    <w:rsid w:val="007B43CC"/>
    <w:rsid w:val="007B459B"/>
    <w:rsid w:val="007B4849"/>
    <w:rsid w:val="007B48C8"/>
    <w:rsid w:val="007B5086"/>
    <w:rsid w:val="007B54FF"/>
    <w:rsid w:val="007B5E36"/>
    <w:rsid w:val="007B6760"/>
    <w:rsid w:val="007C02F7"/>
    <w:rsid w:val="007C0938"/>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E7F"/>
    <w:rsid w:val="008850A3"/>
    <w:rsid w:val="008854AB"/>
    <w:rsid w:val="00885C8C"/>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05F"/>
    <w:rsid w:val="008A3435"/>
    <w:rsid w:val="008A3DB4"/>
    <w:rsid w:val="008A59DA"/>
    <w:rsid w:val="008A6406"/>
    <w:rsid w:val="008A7089"/>
    <w:rsid w:val="008A7091"/>
    <w:rsid w:val="008A74D1"/>
    <w:rsid w:val="008B0BAB"/>
    <w:rsid w:val="008B1118"/>
    <w:rsid w:val="008B137D"/>
    <w:rsid w:val="008B2095"/>
    <w:rsid w:val="008B26FC"/>
    <w:rsid w:val="008B286D"/>
    <w:rsid w:val="008B3103"/>
    <w:rsid w:val="008B402A"/>
    <w:rsid w:val="008B4330"/>
    <w:rsid w:val="008B47D4"/>
    <w:rsid w:val="008B57FA"/>
    <w:rsid w:val="008B6B1C"/>
    <w:rsid w:val="008B70F7"/>
    <w:rsid w:val="008B7958"/>
    <w:rsid w:val="008C108C"/>
    <w:rsid w:val="008C16AA"/>
    <w:rsid w:val="008C17F8"/>
    <w:rsid w:val="008C1FE9"/>
    <w:rsid w:val="008C248C"/>
    <w:rsid w:val="008C25C7"/>
    <w:rsid w:val="008C297F"/>
    <w:rsid w:val="008C3100"/>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2D8F"/>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793"/>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502"/>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0F36"/>
    <w:rsid w:val="00B212DA"/>
    <w:rsid w:val="00B21425"/>
    <w:rsid w:val="00B21675"/>
    <w:rsid w:val="00B2199F"/>
    <w:rsid w:val="00B21B83"/>
    <w:rsid w:val="00B22BFF"/>
    <w:rsid w:val="00B2306E"/>
    <w:rsid w:val="00B23B46"/>
    <w:rsid w:val="00B23EC7"/>
    <w:rsid w:val="00B24089"/>
    <w:rsid w:val="00B249A0"/>
    <w:rsid w:val="00B24D04"/>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5BEA"/>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711A"/>
    <w:rsid w:val="00C9744E"/>
    <w:rsid w:val="00C977ED"/>
    <w:rsid w:val="00C97990"/>
    <w:rsid w:val="00C97CE3"/>
    <w:rsid w:val="00CA03A6"/>
    <w:rsid w:val="00CA0E9C"/>
    <w:rsid w:val="00CA12B0"/>
    <w:rsid w:val="00CA23F7"/>
    <w:rsid w:val="00CA2913"/>
    <w:rsid w:val="00CA2BE0"/>
    <w:rsid w:val="00CA2C61"/>
    <w:rsid w:val="00CA2D1D"/>
    <w:rsid w:val="00CA30BE"/>
    <w:rsid w:val="00CA328A"/>
    <w:rsid w:val="00CA383F"/>
    <w:rsid w:val="00CA3A14"/>
    <w:rsid w:val="00CA4FC4"/>
    <w:rsid w:val="00CA54DC"/>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218"/>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2D5"/>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1286"/>
    <w:rsid w:val="00DC17D7"/>
    <w:rsid w:val="00DC23B2"/>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29B6"/>
    <w:rsid w:val="00DD3080"/>
    <w:rsid w:val="00DD3342"/>
    <w:rsid w:val="00DD39DE"/>
    <w:rsid w:val="00DD3D05"/>
    <w:rsid w:val="00DD58C2"/>
    <w:rsid w:val="00DD6F39"/>
    <w:rsid w:val="00DD75DB"/>
    <w:rsid w:val="00DD775F"/>
    <w:rsid w:val="00DD7D97"/>
    <w:rsid w:val="00DE0419"/>
    <w:rsid w:val="00DE067A"/>
    <w:rsid w:val="00DE0747"/>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6C42"/>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879"/>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033E"/>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3B"/>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D5E9-F67A-438C-9E6F-53061AE8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16</cp:revision>
  <cp:lastPrinted>2019-09-19T02:33:00Z</cp:lastPrinted>
  <dcterms:created xsi:type="dcterms:W3CDTF">2019-11-07T14:40:00Z</dcterms:created>
  <dcterms:modified xsi:type="dcterms:W3CDTF">2019-11-10T21:20:00Z</dcterms:modified>
</cp:coreProperties>
</file>