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4D35" w14:textId="77777777" w:rsidR="00D658A0" w:rsidRPr="00C05CF6" w:rsidRDefault="00D658A0" w:rsidP="00D658A0">
      <w:pPr>
        <w:jc w:val="right"/>
        <w:rPr>
          <w:rtl/>
          <w:lang w:bidi="he-IL"/>
        </w:rPr>
      </w:pPr>
      <w:bookmarkStart w:id="0" w:name="_Hlk76047166"/>
      <w:r w:rsidRPr="00C05CF6">
        <w:rPr>
          <w:rFonts w:hint="cs"/>
          <w:rtl/>
          <w:lang w:bidi="he-IL"/>
        </w:rPr>
        <w:t>הרב שמואל דוב ווייס</w:t>
      </w:r>
    </w:p>
    <w:p w14:paraId="095C8C5A" w14:textId="6ADAB3FB" w:rsidR="00D658A0" w:rsidRPr="00C05CF6" w:rsidRDefault="00D658A0" w:rsidP="00D658A0">
      <w:pPr>
        <w:jc w:val="center"/>
        <w:rPr>
          <w:rtl/>
          <w:lang w:bidi="he-IL"/>
        </w:rPr>
      </w:pPr>
      <w:r>
        <w:rPr>
          <w:rFonts w:hint="cs"/>
          <w:b/>
          <w:bCs/>
          <w:sz w:val="30"/>
          <w:szCs w:val="30"/>
          <w:u w:val="single"/>
          <w:rtl/>
          <w:lang w:bidi="he-IL"/>
        </w:rPr>
        <w:t>הזמה</w:t>
      </w:r>
      <w:r w:rsidRPr="00C05CF6">
        <w:rPr>
          <w:rFonts w:hint="cs"/>
          <w:rtl/>
          <w:lang w:bidi="he-IL"/>
        </w:rPr>
        <w:t xml:space="preserve"> (#</w:t>
      </w:r>
      <w:r>
        <w:rPr>
          <w:rFonts w:hint="cs"/>
          <w:rtl/>
          <w:lang w:bidi="he-IL"/>
        </w:rPr>
        <w:t>2</w:t>
      </w:r>
      <w:r w:rsidRPr="00C05CF6">
        <w:rPr>
          <w:rFonts w:hint="cs"/>
          <w:rtl/>
          <w:lang w:bidi="he-IL"/>
        </w:rPr>
        <w:t>)</w:t>
      </w:r>
    </w:p>
    <w:p w14:paraId="3E80FE9C" w14:textId="633788CF" w:rsidR="00D658A0" w:rsidRDefault="00D658A0" w:rsidP="00D658A0">
      <w:pPr>
        <w:jc w:val="right"/>
        <w:rPr>
          <w:u w:val="single"/>
          <w:rtl/>
          <w:lang w:bidi="he-IL"/>
        </w:rPr>
      </w:pPr>
      <w:r>
        <w:rPr>
          <w:rFonts w:hint="cs"/>
          <w:u w:val="single"/>
          <w:rtl/>
          <w:lang w:bidi="he-IL"/>
        </w:rPr>
        <w:t>הקדמה לדין הזמה</w:t>
      </w:r>
    </w:p>
    <w:p w14:paraId="572E61A0" w14:textId="0B16C486" w:rsidR="00D658A0" w:rsidRDefault="00D658A0" w:rsidP="00D658A0">
      <w:pPr>
        <w:jc w:val="right"/>
        <w:rPr>
          <w:rtl/>
          <w:lang w:bidi="he-IL"/>
        </w:rPr>
      </w:pPr>
      <w:r w:rsidRPr="00A24FF2">
        <w:rPr>
          <w:rFonts w:hint="cs"/>
          <w:b/>
          <w:bCs/>
          <w:rtl/>
          <w:lang w:bidi="he-IL"/>
        </w:rPr>
        <w:t>גמ'</w:t>
      </w:r>
      <w:r>
        <w:rPr>
          <w:rFonts w:hint="cs"/>
          <w:rtl/>
          <w:lang w:bidi="he-IL"/>
        </w:rPr>
        <w:t xml:space="preserve"> </w:t>
      </w:r>
      <w:r w:rsidRPr="00A24FF2">
        <w:rPr>
          <w:rFonts w:hint="cs"/>
          <w:b/>
          <w:bCs/>
          <w:rtl/>
          <w:lang w:bidi="he-IL"/>
        </w:rPr>
        <w:t>ב"ק</w:t>
      </w:r>
      <w:r>
        <w:rPr>
          <w:rFonts w:hint="cs"/>
          <w:rtl/>
          <w:lang w:bidi="he-IL"/>
        </w:rPr>
        <w:t xml:space="preserve"> עב: ["איתמר..."]</w:t>
      </w:r>
      <w:r w:rsidR="004A6834">
        <w:rPr>
          <w:rFonts w:hint="cs"/>
          <w:rtl/>
          <w:lang w:bidi="he-IL"/>
        </w:rPr>
        <w:t xml:space="preserve"> - עג. [עד "... ביע"ל קג"ם"]</w:t>
      </w:r>
      <w:r>
        <w:rPr>
          <w:rFonts w:hint="cs"/>
          <w:rtl/>
          <w:lang w:bidi="he-IL"/>
        </w:rPr>
        <w:t xml:space="preserve">, </w:t>
      </w:r>
      <w:r w:rsidRPr="00655364">
        <w:rPr>
          <w:rFonts w:hint="cs"/>
          <w:b/>
          <w:bCs/>
          <w:rtl/>
          <w:lang w:bidi="he-IL"/>
        </w:rPr>
        <w:t>ו</w:t>
      </w:r>
      <w:r w:rsidRPr="00A24FF2">
        <w:rPr>
          <w:rFonts w:hint="cs"/>
          <w:b/>
          <w:bCs/>
          <w:rtl/>
          <w:lang w:bidi="he-IL"/>
        </w:rPr>
        <w:t>רש"י</w:t>
      </w:r>
      <w:r>
        <w:rPr>
          <w:rFonts w:hint="cs"/>
          <w:rtl/>
          <w:lang w:bidi="he-IL"/>
        </w:rPr>
        <w:t xml:space="preserve"> שם</w:t>
      </w:r>
    </w:p>
    <w:p w14:paraId="35C36BEF" w14:textId="205BBC10" w:rsidR="00D32D1D" w:rsidRPr="00D32D1D" w:rsidRDefault="00D32D1D" w:rsidP="00D658A0">
      <w:pPr>
        <w:jc w:val="right"/>
        <w:rPr>
          <w:b/>
          <w:bCs/>
          <w:rtl/>
          <w:lang w:bidi="he-IL"/>
        </w:rPr>
      </w:pPr>
      <w:r w:rsidRPr="00D32D1D">
        <w:rPr>
          <w:rFonts w:hint="cs"/>
          <w:b/>
          <w:bCs/>
          <w:rtl/>
          <w:lang w:bidi="he-IL"/>
        </w:rPr>
        <w:t>גמ'</w:t>
      </w:r>
      <w:r>
        <w:rPr>
          <w:rFonts w:hint="cs"/>
          <w:b/>
          <w:bCs/>
          <w:rtl/>
          <w:lang w:bidi="he-IL"/>
        </w:rPr>
        <w:t xml:space="preserve"> ב"ב</w:t>
      </w:r>
      <w:r w:rsidR="00F8766A">
        <w:rPr>
          <w:rFonts w:hint="cs"/>
          <w:b/>
          <w:bCs/>
          <w:rtl/>
          <w:lang w:bidi="he-IL"/>
        </w:rPr>
        <w:t xml:space="preserve"> </w:t>
      </w:r>
      <w:r w:rsidR="004A6834" w:rsidRPr="004A6834">
        <w:rPr>
          <w:rFonts w:hint="cs"/>
          <w:rtl/>
          <w:lang w:bidi="he-IL"/>
        </w:rPr>
        <w:t>לא.</w:t>
      </w:r>
      <w:r w:rsidR="004A6834">
        <w:rPr>
          <w:rFonts w:hint="cs"/>
          <w:rtl/>
          <w:lang w:bidi="he-IL"/>
        </w:rPr>
        <w:t xml:space="preserve"> ["זה אומר של אבותי..."</w:t>
      </w:r>
      <w:r w:rsidR="004A6834">
        <w:rPr>
          <w:rStyle w:val="FootnoteReference"/>
          <w:rtl/>
          <w:lang w:bidi="he-IL"/>
        </w:rPr>
        <w:footnoteReference w:id="1"/>
      </w:r>
      <w:r w:rsidR="004A6834">
        <w:rPr>
          <w:rFonts w:hint="cs"/>
          <w:rtl/>
          <w:lang w:bidi="he-IL"/>
        </w:rPr>
        <w:t xml:space="preserve">] - לא: [עד "... לאותה עדות לא"], </w:t>
      </w:r>
      <w:r w:rsidR="004A6834" w:rsidRPr="004A6834">
        <w:rPr>
          <w:rFonts w:hint="cs"/>
          <w:b/>
          <w:bCs/>
          <w:rtl/>
          <w:lang w:bidi="he-IL"/>
        </w:rPr>
        <w:t>ורשב"ם</w:t>
      </w:r>
      <w:r w:rsidR="004A6834">
        <w:rPr>
          <w:rFonts w:hint="cs"/>
          <w:rtl/>
          <w:lang w:bidi="he-IL"/>
        </w:rPr>
        <w:t xml:space="preserve"> שם</w:t>
      </w:r>
    </w:p>
    <w:p w14:paraId="0232FFA5" w14:textId="191D8AA9" w:rsidR="00D658A0" w:rsidRDefault="00D658A0" w:rsidP="00D658A0">
      <w:pPr>
        <w:jc w:val="right"/>
        <w:rPr>
          <w:rtl/>
          <w:lang w:bidi="he-IL"/>
        </w:rPr>
      </w:pPr>
      <w:r w:rsidRPr="00D658A0">
        <w:rPr>
          <w:rFonts w:hint="cs"/>
          <w:b/>
          <w:bCs/>
          <w:rtl/>
          <w:lang w:bidi="he-IL"/>
        </w:rPr>
        <w:t xml:space="preserve">תוס' </w:t>
      </w:r>
      <w:r w:rsidR="00D32D1D">
        <w:rPr>
          <w:rFonts w:hint="cs"/>
          <w:rtl/>
          <w:lang w:bidi="he-IL"/>
        </w:rPr>
        <w:t>ב"ק שם</w:t>
      </w:r>
      <w:r w:rsidRPr="00D658A0">
        <w:rPr>
          <w:rFonts w:hint="cs"/>
          <w:rtl/>
          <w:lang w:bidi="he-IL"/>
        </w:rPr>
        <w:t xml:space="preserve"> (ד"ה אין לך בו)</w:t>
      </w:r>
      <w:r>
        <w:rPr>
          <w:rFonts w:hint="cs"/>
          <w:rtl/>
          <w:lang w:bidi="he-IL"/>
        </w:rPr>
        <w:t xml:space="preserve"> ["אין להקשות... </w:t>
      </w:r>
      <w:r w:rsidR="007C7D80">
        <w:rPr>
          <w:rFonts w:hint="cs"/>
          <w:rtl/>
          <w:lang w:bidi="he-IL"/>
        </w:rPr>
        <w:t>בין לרב הונא בין לרב חסדא</w:t>
      </w:r>
      <w:r>
        <w:rPr>
          <w:rFonts w:hint="cs"/>
          <w:rtl/>
          <w:lang w:bidi="he-IL"/>
        </w:rPr>
        <w:t>"]</w:t>
      </w:r>
    </w:p>
    <w:p w14:paraId="1D5D2F8B" w14:textId="003BBD85" w:rsidR="002767AD" w:rsidRDefault="002767AD" w:rsidP="00D658A0">
      <w:pPr>
        <w:jc w:val="right"/>
        <w:rPr>
          <w:rtl/>
          <w:lang w:bidi="he-IL"/>
        </w:rPr>
      </w:pPr>
      <w:r w:rsidRPr="002767AD">
        <w:rPr>
          <w:rFonts w:hint="cs"/>
          <w:b/>
          <w:bCs/>
          <w:rtl/>
          <w:lang w:bidi="he-IL"/>
        </w:rPr>
        <w:t>תוס'</w:t>
      </w:r>
      <w:r>
        <w:rPr>
          <w:rFonts w:hint="cs"/>
          <w:b/>
          <w:bCs/>
          <w:rtl/>
          <w:lang w:bidi="he-IL"/>
        </w:rPr>
        <w:t xml:space="preserve"> </w:t>
      </w:r>
      <w:r w:rsidRPr="002767AD">
        <w:rPr>
          <w:rFonts w:hint="cs"/>
          <w:rtl/>
          <w:lang w:bidi="he-IL"/>
        </w:rPr>
        <w:t>ב"ב</w:t>
      </w:r>
      <w:r>
        <w:rPr>
          <w:rFonts w:hint="cs"/>
          <w:rtl/>
          <w:lang w:bidi="he-IL"/>
        </w:rPr>
        <w:t xml:space="preserve"> לא: (ד"ה ורבא)</w:t>
      </w:r>
    </w:p>
    <w:p w14:paraId="0EE24447" w14:textId="24B51104" w:rsidR="002767AD" w:rsidRDefault="002767AD" w:rsidP="00D658A0">
      <w:pPr>
        <w:jc w:val="right"/>
        <w:rPr>
          <w:rtl/>
          <w:lang w:bidi="he-IL"/>
        </w:rPr>
      </w:pPr>
      <w:r>
        <w:rPr>
          <w:rFonts w:hint="cs"/>
          <w:b/>
          <w:bCs/>
          <w:rtl/>
          <w:lang w:bidi="he-IL"/>
        </w:rPr>
        <w:t xml:space="preserve">תוס' </w:t>
      </w:r>
      <w:r>
        <w:rPr>
          <w:rFonts w:hint="cs"/>
          <w:rtl/>
          <w:lang w:bidi="he-IL"/>
        </w:rPr>
        <w:t>סנהדרין כז.</w:t>
      </w:r>
      <w:r>
        <w:rPr>
          <w:rStyle w:val="FootnoteReference"/>
          <w:rtl/>
          <w:lang w:bidi="he-IL"/>
        </w:rPr>
        <w:footnoteReference w:id="2"/>
      </w:r>
      <w:r>
        <w:rPr>
          <w:rFonts w:hint="cs"/>
          <w:rtl/>
          <w:lang w:bidi="he-IL"/>
        </w:rPr>
        <w:t xml:space="preserve"> (ד"ה אין לך בו)</w:t>
      </w:r>
    </w:p>
    <w:p w14:paraId="5D1E29B8" w14:textId="5F7D8E39" w:rsidR="00476B47" w:rsidRDefault="00476B47" w:rsidP="00476B47">
      <w:pPr>
        <w:jc w:val="right"/>
        <w:rPr>
          <w:rtl/>
          <w:lang w:bidi="he-IL"/>
        </w:rPr>
      </w:pPr>
      <w:r w:rsidRPr="00476B47">
        <w:rPr>
          <w:rFonts w:hint="cs"/>
          <w:b/>
          <w:bCs/>
          <w:rtl/>
          <w:lang w:bidi="he-IL"/>
        </w:rPr>
        <w:t xml:space="preserve">רמב"ם </w:t>
      </w:r>
      <w:r w:rsidRPr="00476B47">
        <w:rPr>
          <w:rFonts w:hint="cs"/>
          <w:rtl/>
          <w:lang w:bidi="he-IL"/>
        </w:rPr>
        <w:t>הל' עדות (י"ח:</w:t>
      </w:r>
      <w:r>
        <w:rPr>
          <w:rFonts w:hint="cs"/>
          <w:rtl/>
          <w:lang w:bidi="he-IL"/>
        </w:rPr>
        <w:t>ב</w:t>
      </w:r>
      <w:r w:rsidRPr="00476B47">
        <w:rPr>
          <w:rFonts w:hint="cs"/>
          <w:rtl/>
          <w:lang w:bidi="he-IL"/>
        </w:rPr>
        <w:t>'-ג')</w:t>
      </w:r>
    </w:p>
    <w:p w14:paraId="71D5F692" w14:textId="233DC57C" w:rsidR="00476B47" w:rsidRDefault="00476B47" w:rsidP="00476B47">
      <w:pPr>
        <w:jc w:val="right"/>
        <w:rPr>
          <w:rtl/>
          <w:lang w:bidi="he-IL"/>
        </w:rPr>
      </w:pPr>
      <w:r w:rsidRPr="00476B47">
        <w:rPr>
          <w:b/>
          <w:bCs/>
          <w:rtl/>
          <w:lang w:bidi="he-IL"/>
        </w:rPr>
        <w:t>אברבנאל</w:t>
      </w:r>
      <w:r w:rsidRPr="00476B47">
        <w:rPr>
          <w:rFonts w:hint="cs"/>
          <w:b/>
          <w:bCs/>
          <w:rtl/>
          <w:lang w:bidi="he-IL"/>
        </w:rPr>
        <w:t xml:space="preserve"> </w:t>
      </w:r>
      <w:r w:rsidRPr="00476B47">
        <w:rPr>
          <w:rFonts w:hint="cs"/>
          <w:rtl/>
          <w:lang w:bidi="he-IL"/>
        </w:rPr>
        <w:t>דברים פרק י"ט</w:t>
      </w:r>
      <w:r w:rsidRPr="00476B47">
        <w:rPr>
          <w:vertAlign w:val="superscript"/>
          <w:rtl/>
          <w:lang w:bidi="he-IL"/>
        </w:rPr>
        <w:footnoteReference w:id="3"/>
      </w:r>
    </w:p>
    <w:p w14:paraId="13CDF014" w14:textId="5205FABA" w:rsidR="0024501A" w:rsidRDefault="0024501A" w:rsidP="00476B47">
      <w:pPr>
        <w:jc w:val="right"/>
        <w:rPr>
          <w:rtl/>
          <w:lang w:bidi="he-IL"/>
        </w:rPr>
      </w:pPr>
      <w:r w:rsidRPr="0024501A">
        <w:rPr>
          <w:rFonts w:hint="cs"/>
          <w:b/>
          <w:bCs/>
          <w:rtl/>
          <w:lang w:bidi="he-IL"/>
        </w:rPr>
        <w:t>לחם משנה</w:t>
      </w:r>
      <w:r>
        <w:rPr>
          <w:rFonts w:hint="cs"/>
          <w:b/>
          <w:bCs/>
          <w:rtl/>
          <w:lang w:bidi="he-IL"/>
        </w:rPr>
        <w:t xml:space="preserve"> </w:t>
      </w:r>
      <w:r w:rsidRPr="0024501A">
        <w:rPr>
          <w:rFonts w:hint="cs"/>
          <w:rtl/>
          <w:lang w:bidi="he-IL"/>
        </w:rPr>
        <w:t>הל'</w:t>
      </w:r>
      <w:r>
        <w:rPr>
          <w:rFonts w:hint="cs"/>
          <w:b/>
          <w:bCs/>
          <w:rtl/>
          <w:lang w:bidi="he-IL"/>
        </w:rPr>
        <w:t xml:space="preserve"> </w:t>
      </w:r>
      <w:r w:rsidRPr="0024501A">
        <w:rPr>
          <w:rFonts w:hint="cs"/>
          <w:rtl/>
          <w:lang w:bidi="he-IL"/>
        </w:rPr>
        <w:t>עדו</w:t>
      </w:r>
      <w:r>
        <w:rPr>
          <w:rFonts w:hint="cs"/>
          <w:rtl/>
          <w:lang w:bidi="he-IL"/>
        </w:rPr>
        <w:t>ת (י"ח:ב') [עד "...כדי שיסמוך עליו"]</w:t>
      </w:r>
    </w:p>
    <w:p w14:paraId="4A70911B" w14:textId="31E1B0A7" w:rsidR="00F17201" w:rsidRDefault="00F17201" w:rsidP="00F17201">
      <w:pPr>
        <w:jc w:val="right"/>
        <w:rPr>
          <w:lang w:bidi="he-IL"/>
        </w:rPr>
      </w:pPr>
      <w:r w:rsidRPr="00F17201">
        <w:rPr>
          <w:rFonts w:hint="cs"/>
          <w:b/>
          <w:bCs/>
          <w:rtl/>
          <w:lang w:bidi="he-IL"/>
        </w:rPr>
        <w:t>רמב"ם</w:t>
      </w:r>
      <w:r>
        <w:rPr>
          <w:rFonts w:hint="cs"/>
          <w:b/>
          <w:bCs/>
          <w:rtl/>
          <w:lang w:bidi="he-IL"/>
        </w:rPr>
        <w:t xml:space="preserve"> </w:t>
      </w:r>
      <w:r w:rsidRPr="00476B47">
        <w:rPr>
          <w:rFonts w:hint="cs"/>
          <w:rtl/>
          <w:lang w:bidi="he-IL"/>
        </w:rPr>
        <w:t>הל' עדות</w:t>
      </w:r>
      <w:r>
        <w:rPr>
          <w:rFonts w:hint="cs"/>
          <w:rtl/>
          <w:lang w:bidi="he-IL"/>
        </w:rPr>
        <w:t xml:space="preserve"> (כ':</w:t>
      </w:r>
      <w:r w:rsidR="00B25F41">
        <w:rPr>
          <w:rFonts w:hint="cs"/>
          <w:rtl/>
          <w:lang w:bidi="he-IL"/>
        </w:rPr>
        <w:t>ד')</w:t>
      </w:r>
    </w:p>
    <w:p w14:paraId="3A42C006" w14:textId="004BE342" w:rsidR="007A7651" w:rsidRDefault="007A7651" w:rsidP="00F17201">
      <w:pPr>
        <w:jc w:val="right"/>
        <w:rPr>
          <w:rtl/>
          <w:lang w:bidi="he-IL"/>
        </w:rPr>
      </w:pPr>
      <w:r w:rsidRPr="007A7651">
        <w:rPr>
          <w:rFonts w:hint="cs"/>
          <w:b/>
          <w:bCs/>
          <w:rtl/>
          <w:lang w:bidi="he-IL"/>
        </w:rPr>
        <w:t>רשימות שיעורים</w:t>
      </w:r>
      <w:r>
        <w:rPr>
          <w:rFonts w:hint="cs"/>
          <w:b/>
          <w:bCs/>
          <w:rtl/>
          <w:lang w:bidi="he-IL"/>
        </w:rPr>
        <w:t xml:space="preserve"> </w:t>
      </w:r>
      <w:r w:rsidRPr="007A7651">
        <w:rPr>
          <w:rFonts w:hint="cs"/>
          <w:rtl/>
          <w:lang w:bidi="he-IL"/>
        </w:rPr>
        <w:t>ב"ק</w:t>
      </w:r>
      <w:r>
        <w:rPr>
          <w:rFonts w:hint="cs"/>
          <w:rtl/>
          <w:lang w:bidi="he-IL"/>
        </w:rPr>
        <w:t xml:space="preserve"> עמ' תמ"ח-ט, תנ"ג</w:t>
      </w:r>
      <w:r>
        <w:rPr>
          <w:rStyle w:val="FootnoteReference"/>
          <w:rtl/>
          <w:lang w:bidi="he-IL"/>
        </w:rPr>
        <w:footnoteReference w:id="4"/>
      </w:r>
    </w:p>
    <w:p w14:paraId="67FFD270" w14:textId="0FE281D2" w:rsidR="00C7671A" w:rsidRPr="00C7671A" w:rsidRDefault="00C7671A" w:rsidP="00C7671A">
      <w:pPr>
        <w:jc w:val="right"/>
        <w:rPr>
          <w:b/>
          <w:bCs/>
          <w:lang w:bidi="he-IL"/>
        </w:rPr>
      </w:pPr>
      <w:r w:rsidRPr="00C7671A">
        <w:rPr>
          <w:b/>
          <w:bCs/>
          <w:rtl/>
          <w:lang w:bidi="he-IL"/>
        </w:rPr>
        <w:t xml:space="preserve">דרשות הר"ן </w:t>
      </w:r>
      <w:r w:rsidRPr="00C7671A">
        <w:rPr>
          <w:rFonts w:hint="cs"/>
          <w:rtl/>
          <w:lang w:bidi="he-IL"/>
        </w:rPr>
        <w:t>(</w:t>
      </w:r>
      <w:r w:rsidRPr="00C7671A">
        <w:rPr>
          <w:rtl/>
          <w:lang w:bidi="he-IL"/>
        </w:rPr>
        <w:t>דרוש י</w:t>
      </w:r>
      <w:r>
        <w:rPr>
          <w:rFonts w:hint="cs"/>
          <w:rtl/>
          <w:lang w:bidi="he-IL"/>
        </w:rPr>
        <w:t>"</w:t>
      </w:r>
      <w:r w:rsidRPr="00C7671A">
        <w:rPr>
          <w:rtl/>
          <w:lang w:bidi="he-IL"/>
        </w:rPr>
        <w:t>א</w:t>
      </w:r>
      <w:r>
        <w:rPr>
          <w:rFonts w:hint="cs"/>
          <w:rtl/>
          <w:lang w:bidi="he-IL"/>
        </w:rPr>
        <w:t>)</w:t>
      </w:r>
      <w:r>
        <w:rPr>
          <w:rStyle w:val="FootnoteReference"/>
          <w:rtl/>
          <w:lang w:bidi="he-IL"/>
        </w:rPr>
        <w:footnoteReference w:id="5"/>
      </w:r>
    </w:p>
    <w:p w14:paraId="2D99DD44" w14:textId="3DB409AF" w:rsidR="00476B47" w:rsidRDefault="002628C9" w:rsidP="002628C9">
      <w:pPr>
        <w:jc w:val="right"/>
        <w:rPr>
          <w:b/>
          <w:bCs/>
          <w:rtl/>
          <w:lang w:bidi="he-IL"/>
        </w:rPr>
      </w:pPr>
      <w:r w:rsidRPr="002628C9">
        <w:rPr>
          <w:rFonts w:hint="cs"/>
          <w:b/>
          <w:bCs/>
          <w:rtl/>
          <w:lang w:bidi="he-IL"/>
        </w:rPr>
        <w:t xml:space="preserve">פני יהושע ה. </w:t>
      </w:r>
      <w:r w:rsidRPr="002628C9">
        <w:rPr>
          <w:rFonts w:hint="cs"/>
          <w:rtl/>
          <w:lang w:bidi="he-IL"/>
        </w:rPr>
        <w:t xml:space="preserve">(ד"ה </w:t>
      </w:r>
      <w:r>
        <w:rPr>
          <w:rFonts w:hint="cs"/>
          <w:rtl/>
          <w:lang w:bidi="he-IL"/>
        </w:rPr>
        <w:t>ונראה לי להוסיף</w:t>
      </w:r>
      <w:r w:rsidRPr="002628C9">
        <w:rPr>
          <w:rFonts w:hint="cs"/>
          <w:rtl/>
          <w:lang w:bidi="he-IL"/>
        </w:rPr>
        <w:t>)</w:t>
      </w:r>
      <w:r>
        <w:rPr>
          <w:rFonts w:hint="cs"/>
          <w:rtl/>
          <w:lang w:bidi="he-IL"/>
        </w:rPr>
        <w:t xml:space="preserve"> [עד "... לשון הרמב"ם ז"ל"]</w:t>
      </w:r>
    </w:p>
    <w:p w14:paraId="22BAFDCC" w14:textId="77777777" w:rsidR="00476B47" w:rsidRDefault="00476B47" w:rsidP="00476B47">
      <w:pPr>
        <w:jc w:val="right"/>
        <w:rPr>
          <w:b/>
          <w:bCs/>
          <w:rtl/>
          <w:lang w:bidi="he-IL"/>
        </w:rPr>
      </w:pPr>
    </w:p>
    <w:p w14:paraId="6F47D149" w14:textId="3A961032" w:rsidR="00476B47" w:rsidRPr="00476B47" w:rsidRDefault="00476B47" w:rsidP="00476B47">
      <w:pPr>
        <w:jc w:val="right"/>
        <w:rPr>
          <w:u w:val="single"/>
          <w:rtl/>
          <w:lang w:bidi="he-IL"/>
        </w:rPr>
      </w:pPr>
      <w:r w:rsidRPr="00476B47">
        <w:rPr>
          <w:u w:val="single"/>
          <w:rtl/>
          <w:lang w:bidi="he-IL"/>
        </w:rPr>
        <w:t>אברבנאל פרשת שופטים</w:t>
      </w:r>
    </w:p>
    <w:p w14:paraId="386122D8" w14:textId="6E19D098" w:rsidR="00476B47" w:rsidRDefault="00476B47" w:rsidP="00476B47">
      <w:pPr>
        <w:jc w:val="right"/>
        <w:rPr>
          <w:rtl/>
          <w:lang w:bidi="he-IL"/>
        </w:rPr>
      </w:pPr>
      <w:r w:rsidRPr="00476B47">
        <w:rPr>
          <w:rtl/>
          <w:lang w:bidi="he-IL"/>
        </w:rPr>
        <w:t>ואמנם למה יאמרו דבר אמת העדים השניים המזימין יותר מהעדים המוזמים בהיות מספרם אחד שהוא הספק האחד ועשרים אשר העירותי, הנה הרמב"ם בהלכות עדים כתב שהיא גזרת הכתוב ולא נתן בו טעם כלל, אבל הרב ר' משה בר נחמן כתב בזה טעם נכבד והאריך בו הרלב"ג וענינו שהפרש גדול יש בין הכחשת העדים והזמתם כי ההכחשה היא בגוף העדות עצמו, כמו שבאו אנשים והעידו על שראובן הרג שמעון, ובאו עדים אחרים והעידו שהוא לא הרגו זו היא ההכחשה ובאופנים אחרים דומים לזה, ואמנם ההזמה הוא שלא יעידו העדים השניים על גוף העדות כי הם יאמרו אין אנו יודעים אם ראובן הרג את שמעון אם לא, אבל אנחנו מעידים שהעדים האלו היו עמנו ביום פלוני במקום פלוני וזהו ענין ההזמה</w:t>
      </w:r>
      <w:r>
        <w:rPr>
          <w:rFonts w:hint="cs"/>
          <w:rtl/>
          <w:lang w:bidi="he-IL"/>
        </w:rPr>
        <w:t>.</w:t>
      </w:r>
    </w:p>
    <w:p w14:paraId="2900DF9A" w14:textId="54D17085" w:rsidR="00C7671A" w:rsidRPr="00C7671A" w:rsidRDefault="00C7671A" w:rsidP="00C7671A">
      <w:pPr>
        <w:jc w:val="right"/>
        <w:rPr>
          <w:u w:val="single"/>
        </w:rPr>
      </w:pPr>
      <w:r w:rsidRPr="00C7671A">
        <w:rPr>
          <w:rFonts w:cs="Arial"/>
          <w:u w:val="single"/>
          <w:rtl/>
          <w:lang w:bidi="he-IL"/>
        </w:rPr>
        <w:t>דרשות הר"ן דרוש י</w:t>
      </w:r>
      <w:r w:rsidR="001767C9">
        <w:rPr>
          <w:rFonts w:cs="Arial" w:hint="cs"/>
          <w:u w:val="single"/>
          <w:rtl/>
          <w:lang w:bidi="he-IL"/>
        </w:rPr>
        <w:t>"</w:t>
      </w:r>
      <w:r w:rsidRPr="00C7671A">
        <w:rPr>
          <w:rFonts w:cs="Arial"/>
          <w:u w:val="single"/>
          <w:rtl/>
          <w:lang w:bidi="he-IL"/>
        </w:rPr>
        <w:t>א</w:t>
      </w:r>
    </w:p>
    <w:p w14:paraId="218EE074" w14:textId="5962C934" w:rsidR="00C7671A" w:rsidRDefault="00C7671A" w:rsidP="00C7671A">
      <w:pPr>
        <w:jc w:val="right"/>
      </w:pPr>
      <w:r>
        <w:rPr>
          <w:rFonts w:cs="Arial"/>
          <w:rtl/>
          <w:lang w:bidi="he-IL"/>
        </w:rPr>
        <w:t xml:space="preserve">ידוע הוא שאפילו מי שמוחזק בשקר, אינו רגיל להיות משקר בדבר שהוא עשוי להתברר. ולפיכך אמרו רבותינו ז"ל (יבמות צג ב) דמלתא דעבידא לגלויי, אפילו קרוב ואפילו אשה נאמנין בכך. וידוע הוא שרוב המשקרים לא היו בודים מלבם דבר חדש שלא היה כלל, אבל במעשה אחר שנעשה, ישקרו וישנו צורתו ותכונתו, מפני שאין הדבר שישקרו בו עשוי להתברר, אחר אשר המעשה נעשה. ואם ימצא מכזב [ש]יהיה בודה מלבו מעשה (אחד) [חדש] לגמרי, יהיה זה זר מאד. אבל לא ימצא מכזב שיפליג בשיקרותו כל כך, שיעיד בדבר שהיה במקום אחד, והוא לא היה כלל באותו מקום, בזמן שהוא מעיד שנעשה המעשה ההוא, אם לא שיזדמן זה על צד תכלית הזרות הגמור, </w:t>
      </w:r>
      <w:r>
        <w:rPr>
          <w:rFonts w:cs="Arial"/>
          <w:rtl/>
          <w:lang w:bidi="he-IL"/>
        </w:rPr>
        <w:lastRenderedPageBreak/>
        <w:t>לפי שהמכזב ירא לנפשו מאותן בני אדם שראוהו במקום אחר, שיוכיחו עליו חרפתו. וידוע הוא שענין עדים זוממים הוא על זה הצד, שהם מעידים בדבר אחד שנעשה במקום פלוני ובזמן פלוני, והמזימין באין ואומרים שלא היו במקום ההוא כלל באותו זמן, והמצא מכזב בכיוצא בזה, רחוק מאד. ומפני רוחק מציאות זה, צותה התורה שקודם שנעניש העדים, נדרוש היטב אם הוא אפשר שהפליגו לשקר כיוצא בזה</w:t>
      </w:r>
      <w:r w:rsidR="002628C9">
        <w:rPr>
          <w:rFonts w:cs="Arial" w:hint="cs"/>
          <w:rtl/>
          <w:lang w:bidi="he-IL"/>
        </w:rPr>
        <w:t>.</w:t>
      </w:r>
      <w:r>
        <w:t xml:space="preserve"> </w:t>
      </w:r>
    </w:p>
    <w:p w14:paraId="01457CE3" w14:textId="18EEFA56" w:rsidR="00C7671A" w:rsidRDefault="00C7671A" w:rsidP="00C7671A">
      <w:pPr>
        <w:jc w:val="right"/>
      </w:pPr>
      <w:r>
        <w:rPr>
          <w:rFonts w:cs="Arial"/>
          <w:rtl/>
          <w:lang w:bidi="he-IL"/>
        </w:rPr>
        <w:t>ומפני זה הענין בעצמו, הוא שצותה התורה שנאמין לאחר דרישה טובה, המזימין, יותר מהמוזמין, ואף על פי דתרי ותרי נינהו, כמו שאמרו רבותינו ז"ל (סנהדרין כז א). והסיבה בזה, לפי שיותר רחוק שישקרו המזימין מהמוזמין. [ש]אף על פי ששניהם מכניסין עצמן בדבר הראוי להתברר, אף על פי כן המזימין מכניסין עצמן בזה יותר מהמוזמין, [כי המוזמין] אולי חשבו שלא ראם שום אדם במקום אחר באותו זמן, ולכן הכניסו עצמן באותו שקר, עם היותו זר, אבל המזימין, אם אין אמת כדבריהם, איך לא יראו [מ]המוזמין שיודעים האמת בעצמם, שיוכיחו שהאמת אתם, ויעידו זה אנשי אותו המקום שראום שם באותו זמן שאמר שנעשה המעשה ההוא, היה המעשה ההוא או לא היה. הנה אין ספק, שכל זמן שהמוזמים לא יבררו שהאמת כדבריהם, שראוי להאמין המזימין יותר</w:t>
      </w:r>
      <w:r w:rsidR="002628C9">
        <w:rPr>
          <w:rFonts w:cs="Arial" w:hint="cs"/>
          <w:rtl/>
          <w:lang w:bidi="he-IL"/>
        </w:rPr>
        <w:t>.</w:t>
      </w:r>
      <w:r>
        <w:t xml:space="preserve"> </w:t>
      </w:r>
    </w:p>
    <w:p w14:paraId="6F644117" w14:textId="4AEBA9FC" w:rsidR="00C7671A" w:rsidRPr="00476B47" w:rsidRDefault="00C7671A" w:rsidP="00C7671A">
      <w:pPr>
        <w:jc w:val="right"/>
        <w:rPr>
          <w:rFonts w:hint="cs"/>
          <w:lang w:bidi="he-IL"/>
        </w:rPr>
      </w:pPr>
      <w:r>
        <w:rPr>
          <w:rFonts w:cs="Arial"/>
          <w:rtl/>
          <w:lang w:bidi="he-IL"/>
        </w:rPr>
        <w:t>ולא יסתור [זה] מה שאמרו רבותינו ז"ל (שם) דעדים זוממין חידוש הוא, דמאי חזית דסמכת אהני, [דהם] רוצים לומר שאין דרך התורה לסמוך על הנראה מהמעשה אם הוא אמת אם לאו, כי אם על עדות שני עדים, שהרי האמינה התורה שני קלי עולם כל זמן שלא יהו פסולים להעיד, כמשה ושמואל שידענו בהם שלא ישנו שום דבר אפילו בשיחה קלה. הנה אם כן, [זה ש]נסמוך (יותר) כאן על המזימין יותר מהמוזמין, מפני היות דברי המזימין, יותר נראין שיהו אמת, הוא חידוש ויציאה מדרך התורה בשאר המקומות</w:t>
      </w:r>
      <w:r w:rsidR="002628C9">
        <w:rPr>
          <w:rFonts w:hint="cs"/>
          <w:rtl/>
          <w:lang w:bidi="he-IL"/>
        </w:rPr>
        <w:t>.</w:t>
      </w:r>
    </w:p>
    <w:p w14:paraId="6EC6112C" w14:textId="77777777" w:rsidR="00476B47" w:rsidRPr="00476B47" w:rsidRDefault="00476B47" w:rsidP="00476B47">
      <w:pPr>
        <w:jc w:val="right"/>
        <w:rPr>
          <w:b/>
          <w:bCs/>
          <w:rtl/>
          <w:lang w:bidi="he-IL"/>
        </w:rPr>
      </w:pPr>
    </w:p>
    <w:p w14:paraId="515A8C36" w14:textId="77777777" w:rsidR="00476B47" w:rsidRPr="002767AD" w:rsidRDefault="00476B47" w:rsidP="00D658A0">
      <w:pPr>
        <w:jc w:val="right"/>
        <w:rPr>
          <w:rtl/>
          <w:lang w:bidi="he-IL"/>
        </w:rPr>
      </w:pPr>
    </w:p>
    <w:p w14:paraId="64886B4D" w14:textId="77777777" w:rsidR="00D658A0" w:rsidRPr="00C05CF6" w:rsidRDefault="00D658A0" w:rsidP="00D658A0">
      <w:pPr>
        <w:jc w:val="right"/>
        <w:rPr>
          <w:u w:val="single"/>
          <w:rtl/>
          <w:lang w:bidi="he-IL"/>
        </w:rPr>
      </w:pPr>
    </w:p>
    <w:bookmarkEnd w:id="0"/>
    <w:p w14:paraId="2C6F4584" w14:textId="77777777" w:rsidR="008530F9" w:rsidRDefault="00B06728"/>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B1D3" w14:textId="77777777" w:rsidR="00B06728" w:rsidRDefault="00B06728" w:rsidP="004A6834">
      <w:pPr>
        <w:spacing w:after="0" w:line="240" w:lineRule="auto"/>
      </w:pPr>
      <w:r>
        <w:separator/>
      </w:r>
    </w:p>
  </w:endnote>
  <w:endnote w:type="continuationSeparator" w:id="0">
    <w:p w14:paraId="3D90C820" w14:textId="77777777" w:rsidR="00B06728" w:rsidRDefault="00B06728" w:rsidP="004A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B730" w14:textId="77777777" w:rsidR="00B06728" w:rsidRDefault="00B06728" w:rsidP="004A6834">
      <w:pPr>
        <w:spacing w:after="0" w:line="240" w:lineRule="auto"/>
      </w:pPr>
      <w:r>
        <w:separator/>
      </w:r>
    </w:p>
  </w:footnote>
  <w:footnote w:type="continuationSeparator" w:id="0">
    <w:p w14:paraId="6F182597" w14:textId="77777777" w:rsidR="00B06728" w:rsidRDefault="00B06728" w:rsidP="004A6834">
      <w:pPr>
        <w:spacing w:after="0" w:line="240" w:lineRule="auto"/>
      </w:pPr>
      <w:r>
        <w:continuationSeparator/>
      </w:r>
    </w:p>
  </w:footnote>
  <w:footnote w:id="1">
    <w:p w14:paraId="7CF2D8E8" w14:textId="092E239A" w:rsidR="004A6834" w:rsidRPr="004A6834" w:rsidRDefault="004A6834">
      <w:pPr>
        <w:pStyle w:val="FootnoteText"/>
        <w:rPr>
          <w:rFonts w:hint="cs"/>
          <w:sz w:val="16"/>
          <w:szCs w:val="16"/>
          <w:lang w:bidi="he-IL"/>
        </w:rPr>
      </w:pPr>
      <w:r w:rsidRPr="004A6834">
        <w:rPr>
          <w:rStyle w:val="FootnoteReference"/>
          <w:sz w:val="16"/>
          <w:szCs w:val="16"/>
        </w:rPr>
        <w:footnoteRef/>
      </w:r>
      <w:r w:rsidRPr="004A6834">
        <w:rPr>
          <w:sz w:val="16"/>
          <w:szCs w:val="16"/>
        </w:rPr>
        <w:t xml:space="preserve"> </w:t>
      </w:r>
      <w:r w:rsidRPr="004A6834">
        <w:rPr>
          <w:sz w:val="16"/>
          <w:szCs w:val="16"/>
          <w:lang w:bidi="he-IL"/>
        </w:rPr>
        <w:t xml:space="preserve">7 lines up from the bottom of the </w:t>
      </w:r>
      <w:r w:rsidRPr="004A6834">
        <w:rPr>
          <w:rFonts w:hint="cs"/>
          <w:sz w:val="16"/>
          <w:szCs w:val="16"/>
          <w:rtl/>
          <w:lang w:bidi="he-IL"/>
        </w:rPr>
        <w:t>עמוד</w:t>
      </w:r>
      <w:r w:rsidRPr="004A6834">
        <w:rPr>
          <w:sz w:val="16"/>
          <w:szCs w:val="16"/>
          <w:lang w:bidi="he-IL"/>
        </w:rPr>
        <w:t xml:space="preserve"> (after the 2 dots)</w:t>
      </w:r>
    </w:p>
  </w:footnote>
  <w:footnote w:id="2">
    <w:p w14:paraId="534142EC" w14:textId="73458ADA" w:rsidR="002767AD" w:rsidRPr="002767AD" w:rsidRDefault="002767AD" w:rsidP="00DE1CC9">
      <w:pPr>
        <w:pStyle w:val="FootnoteText"/>
        <w:rPr>
          <w:rFonts w:hint="cs"/>
          <w:sz w:val="16"/>
          <w:szCs w:val="16"/>
          <w:lang w:bidi="he-IL"/>
        </w:rPr>
      </w:pPr>
      <w:r w:rsidRPr="002767AD">
        <w:rPr>
          <w:rStyle w:val="FootnoteReference"/>
          <w:sz w:val="16"/>
          <w:szCs w:val="16"/>
        </w:rPr>
        <w:footnoteRef/>
      </w:r>
      <w:r w:rsidRPr="002767AD">
        <w:rPr>
          <w:sz w:val="16"/>
          <w:szCs w:val="16"/>
        </w:rPr>
        <w:t xml:space="preserve"> </w:t>
      </w:r>
      <w:r w:rsidRPr="002767AD">
        <w:rPr>
          <w:rFonts w:hint="cs"/>
          <w:sz w:val="16"/>
          <w:szCs w:val="16"/>
          <w:lang w:bidi="he-IL"/>
        </w:rPr>
        <w:t>T</w:t>
      </w:r>
      <w:r w:rsidRPr="002767AD">
        <w:rPr>
          <w:sz w:val="16"/>
          <w:szCs w:val="16"/>
          <w:lang w:bidi="he-IL"/>
        </w:rPr>
        <w:t>he Gemara here</w:t>
      </w:r>
      <w:r w:rsidR="00DE1CC9">
        <w:rPr>
          <w:sz w:val="16"/>
          <w:szCs w:val="16"/>
          <w:lang w:bidi="he-IL"/>
        </w:rPr>
        <w:t xml:space="preserve"> cites the same </w:t>
      </w:r>
      <w:r w:rsidR="00DE1CC9">
        <w:rPr>
          <w:rFonts w:hint="cs"/>
          <w:sz w:val="16"/>
          <w:szCs w:val="16"/>
          <w:rtl/>
          <w:lang w:bidi="he-IL"/>
        </w:rPr>
        <w:t>מחלוקת אביי ורבא</w:t>
      </w:r>
      <w:r w:rsidR="00DE1CC9">
        <w:rPr>
          <w:sz w:val="16"/>
          <w:szCs w:val="16"/>
          <w:lang w:bidi="he-IL"/>
        </w:rPr>
        <w:t xml:space="preserve"> as in the Gemara</w:t>
      </w:r>
      <w:r w:rsidRPr="002767AD">
        <w:rPr>
          <w:sz w:val="16"/>
          <w:szCs w:val="16"/>
          <w:lang w:bidi="he-IL"/>
        </w:rPr>
        <w:t xml:space="preserve"> </w:t>
      </w:r>
      <w:r w:rsidR="00DE1CC9">
        <w:rPr>
          <w:rFonts w:hint="cs"/>
          <w:sz w:val="16"/>
          <w:szCs w:val="16"/>
          <w:rtl/>
          <w:lang w:bidi="he-IL"/>
        </w:rPr>
        <w:t>ב"ק עב:</w:t>
      </w:r>
    </w:p>
  </w:footnote>
  <w:footnote w:id="3">
    <w:p w14:paraId="01829037" w14:textId="77777777" w:rsidR="00476B47" w:rsidRPr="001261D4" w:rsidRDefault="00476B47" w:rsidP="00476B47">
      <w:pPr>
        <w:pStyle w:val="FootnoteText"/>
        <w:rPr>
          <w:sz w:val="16"/>
          <w:szCs w:val="16"/>
          <w:lang w:bidi="he-IL"/>
        </w:rPr>
      </w:pPr>
      <w:r w:rsidRPr="001261D4">
        <w:rPr>
          <w:rStyle w:val="FootnoteReference"/>
          <w:sz w:val="16"/>
          <w:szCs w:val="16"/>
        </w:rPr>
        <w:footnoteRef/>
      </w:r>
      <w:r w:rsidRPr="001261D4">
        <w:rPr>
          <w:sz w:val="16"/>
          <w:szCs w:val="16"/>
        </w:rPr>
        <w:t xml:space="preserve"> </w:t>
      </w:r>
      <w:r w:rsidRPr="001261D4">
        <w:rPr>
          <w:sz w:val="16"/>
          <w:szCs w:val="16"/>
          <w:lang w:bidi="he-IL"/>
        </w:rPr>
        <w:t xml:space="preserve">See below </w:t>
      </w:r>
    </w:p>
  </w:footnote>
  <w:footnote w:id="4">
    <w:p w14:paraId="462ED8CB" w14:textId="357A7376" w:rsidR="007A7651" w:rsidRPr="007A7651" w:rsidRDefault="007A7651" w:rsidP="007A7651">
      <w:pPr>
        <w:pStyle w:val="FootnoteText"/>
        <w:rPr>
          <w:sz w:val="16"/>
          <w:szCs w:val="16"/>
          <w:lang w:bidi="he-IL"/>
        </w:rPr>
      </w:pPr>
      <w:r w:rsidRPr="007A7651">
        <w:rPr>
          <w:rStyle w:val="FootnoteReference"/>
          <w:sz w:val="16"/>
          <w:szCs w:val="16"/>
        </w:rPr>
        <w:footnoteRef/>
      </w:r>
      <w:r w:rsidRPr="007A7651">
        <w:rPr>
          <w:sz w:val="16"/>
          <w:szCs w:val="16"/>
        </w:rPr>
        <w:t xml:space="preserve"> </w:t>
      </w:r>
      <w:r w:rsidRPr="007A7651">
        <w:rPr>
          <w:rFonts w:hint="cs"/>
          <w:sz w:val="16"/>
          <w:szCs w:val="16"/>
          <w:lang w:bidi="he-IL"/>
        </w:rPr>
        <w:t>S</w:t>
      </w:r>
      <w:r w:rsidRPr="007A7651">
        <w:rPr>
          <w:sz w:val="16"/>
          <w:szCs w:val="16"/>
          <w:lang w:bidi="he-IL"/>
        </w:rPr>
        <w:t xml:space="preserve">ee </w:t>
      </w:r>
      <w:r w:rsidRPr="007A7651">
        <w:rPr>
          <w:sz w:val="16"/>
          <w:szCs w:val="16"/>
          <w:lang w:bidi="he-IL"/>
        </w:rPr>
        <w:t>separate photocopy in WhatsApp group</w:t>
      </w:r>
    </w:p>
  </w:footnote>
  <w:footnote w:id="5">
    <w:p w14:paraId="7F9B1FFD" w14:textId="6965DF4B" w:rsidR="00C7671A" w:rsidRPr="00C7671A" w:rsidRDefault="00C7671A">
      <w:pPr>
        <w:pStyle w:val="FootnoteText"/>
        <w:rPr>
          <w:sz w:val="16"/>
          <w:szCs w:val="16"/>
          <w:lang w:bidi="he-IL"/>
        </w:rPr>
      </w:pPr>
      <w:r w:rsidRPr="00C7671A">
        <w:rPr>
          <w:rStyle w:val="FootnoteReference"/>
          <w:sz w:val="16"/>
          <w:szCs w:val="16"/>
        </w:rPr>
        <w:footnoteRef/>
      </w:r>
      <w:r w:rsidRPr="00C7671A">
        <w:rPr>
          <w:sz w:val="16"/>
          <w:szCs w:val="16"/>
        </w:rPr>
        <w:t xml:space="preserve"> </w:t>
      </w:r>
      <w:r w:rsidRPr="00C7671A">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A0"/>
    <w:rsid w:val="001767C9"/>
    <w:rsid w:val="0024501A"/>
    <w:rsid w:val="002628C9"/>
    <w:rsid w:val="002767AD"/>
    <w:rsid w:val="00476B47"/>
    <w:rsid w:val="004A6834"/>
    <w:rsid w:val="00571507"/>
    <w:rsid w:val="007A7651"/>
    <w:rsid w:val="007C7D80"/>
    <w:rsid w:val="008A1AE2"/>
    <w:rsid w:val="00A46F84"/>
    <w:rsid w:val="00B06728"/>
    <w:rsid w:val="00B25F41"/>
    <w:rsid w:val="00C7671A"/>
    <w:rsid w:val="00D32D1D"/>
    <w:rsid w:val="00D658A0"/>
    <w:rsid w:val="00DE1CC9"/>
    <w:rsid w:val="00F17201"/>
    <w:rsid w:val="00F87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10CD"/>
  <w15:chartTrackingRefBased/>
  <w15:docId w15:val="{2C2CC284-82DE-4BFD-935F-2ECCE057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834"/>
    <w:pPr>
      <w:spacing w:after="0" w:line="240" w:lineRule="auto"/>
    </w:pPr>
    <w:rPr>
      <w:sz w:val="20"/>
      <w:szCs w:val="20"/>
    </w:rPr>
  </w:style>
  <w:style w:type="character" w:customStyle="1" w:styleId="FootnoteTextChar">
    <w:name w:val="Footnote Text Char"/>
    <w:basedOn w:val="DefaultParagraphFont"/>
    <w:link w:val="FootnoteText"/>
    <w:uiPriority w:val="99"/>
    <w:rsid w:val="004A6834"/>
    <w:rPr>
      <w:sz w:val="20"/>
      <w:szCs w:val="20"/>
    </w:rPr>
  </w:style>
  <w:style w:type="character" w:styleId="FootnoteReference">
    <w:name w:val="footnote reference"/>
    <w:basedOn w:val="DefaultParagraphFont"/>
    <w:uiPriority w:val="99"/>
    <w:semiHidden/>
    <w:unhideWhenUsed/>
    <w:rsid w:val="004A6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2022-06-30T20:43:00Z</dcterms:created>
  <dcterms:modified xsi:type="dcterms:W3CDTF">2022-07-01T00:48:00Z</dcterms:modified>
</cp:coreProperties>
</file>