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776A" w14:textId="77777777" w:rsidR="007F4757" w:rsidRPr="007F4757" w:rsidRDefault="007F4757" w:rsidP="007F4757">
      <w:pPr>
        <w:jc w:val="right"/>
        <w:rPr>
          <w:rtl/>
          <w:lang w:bidi="he-IL"/>
        </w:rPr>
      </w:pPr>
      <w:r w:rsidRPr="007F4757">
        <w:rPr>
          <w:rFonts w:hint="cs"/>
          <w:rtl/>
          <w:lang w:bidi="he-IL"/>
        </w:rPr>
        <w:t>הרב שמואל דוב ווייס</w:t>
      </w:r>
    </w:p>
    <w:p w14:paraId="3EE9FEB1" w14:textId="0C02A307" w:rsidR="007F4757" w:rsidRPr="007F4757" w:rsidRDefault="007F4757" w:rsidP="007F4757">
      <w:pPr>
        <w:jc w:val="center"/>
        <w:rPr>
          <w:rtl/>
          <w:lang w:bidi="he-IL"/>
        </w:rPr>
      </w:pPr>
      <w:bookmarkStart w:id="0" w:name="_Hlk77771804"/>
      <w:r w:rsidRPr="007F4757">
        <w:rPr>
          <w:rFonts w:hint="cs"/>
          <w:b/>
          <w:bCs/>
          <w:sz w:val="30"/>
          <w:szCs w:val="30"/>
          <w:u w:val="single"/>
          <w:rtl/>
          <w:lang w:bidi="he-IL"/>
        </w:rPr>
        <w:t>מצות לאו ליהנות ניתנו</w:t>
      </w:r>
      <w:bookmarkEnd w:id="0"/>
      <w:r w:rsidRPr="007F4757">
        <w:rPr>
          <w:rFonts w:hint="cs"/>
          <w:rtl/>
          <w:lang w:bidi="he-IL"/>
        </w:rPr>
        <w:t xml:space="preserve"> (#</w:t>
      </w:r>
      <w:r>
        <w:rPr>
          <w:rFonts w:hint="cs"/>
          <w:rtl/>
          <w:lang w:bidi="he-IL"/>
        </w:rPr>
        <w:t>6</w:t>
      </w:r>
      <w:r w:rsidRPr="007F4757">
        <w:rPr>
          <w:rFonts w:hint="cs"/>
          <w:rtl/>
          <w:lang w:bidi="he-IL"/>
        </w:rPr>
        <w:t>)</w:t>
      </w:r>
    </w:p>
    <w:p w14:paraId="31DC9655" w14:textId="57456EA5" w:rsidR="007F4757" w:rsidRDefault="007F4757" w:rsidP="007F4757">
      <w:pPr>
        <w:ind w:left="-90"/>
        <w:jc w:val="right"/>
        <w:rPr>
          <w:rFonts w:cs="Arial"/>
          <w:u w:val="single"/>
          <w:rtl/>
          <w:lang w:bidi="he-IL"/>
        </w:rPr>
      </w:pPr>
      <w:r>
        <w:rPr>
          <w:rFonts w:cs="Arial" w:hint="cs"/>
          <w:u w:val="single"/>
          <w:rtl/>
          <w:lang w:bidi="he-IL"/>
        </w:rPr>
        <w:t>שאר הנאות מן המצוה</w:t>
      </w:r>
      <w:r w:rsidRPr="007F4757">
        <w:rPr>
          <w:rFonts w:cs="Arial"/>
          <w:vertAlign w:val="superscript"/>
          <w:rtl/>
          <w:lang w:bidi="he-IL"/>
        </w:rPr>
        <w:footnoteReference w:id="1"/>
      </w:r>
    </w:p>
    <w:p w14:paraId="1DB281EA" w14:textId="5D7B5461" w:rsidR="00C51A51" w:rsidRPr="007F4757" w:rsidRDefault="00C51A51" w:rsidP="007F4757">
      <w:pPr>
        <w:ind w:left="-90"/>
        <w:jc w:val="right"/>
        <w:rPr>
          <w:rFonts w:cs="Arial"/>
          <w:b/>
          <w:bCs/>
          <w:rtl/>
          <w:lang w:bidi="he-IL"/>
        </w:rPr>
      </w:pPr>
      <w:r w:rsidRPr="00C51A51">
        <w:rPr>
          <w:rFonts w:cs="Arial" w:hint="cs"/>
          <w:b/>
          <w:bCs/>
          <w:rtl/>
          <w:lang w:bidi="he-IL"/>
        </w:rPr>
        <w:t>גמ'</w:t>
      </w:r>
      <w:r>
        <w:rPr>
          <w:rFonts w:cs="Arial" w:hint="cs"/>
          <w:b/>
          <w:bCs/>
          <w:rtl/>
          <w:lang w:bidi="he-IL"/>
        </w:rPr>
        <w:t xml:space="preserve"> </w:t>
      </w:r>
      <w:r w:rsidRPr="00C51A51">
        <w:rPr>
          <w:rFonts w:cs="Arial" w:hint="cs"/>
          <w:rtl/>
          <w:lang w:bidi="he-IL"/>
        </w:rPr>
        <w:t>כח.</w:t>
      </w:r>
      <w:r>
        <w:rPr>
          <w:rFonts w:cs="Arial" w:hint="cs"/>
          <w:rtl/>
          <w:lang w:bidi="he-IL"/>
        </w:rPr>
        <w:t xml:space="preserve"> ["מתקיף לה רבא... מצות לאו ליהנות ניתנו"]</w:t>
      </w:r>
    </w:p>
    <w:p w14:paraId="71E1A020" w14:textId="0225496D" w:rsidR="007F4757" w:rsidRDefault="007F4757" w:rsidP="007F4757">
      <w:pPr>
        <w:jc w:val="right"/>
        <w:rPr>
          <w:rtl/>
          <w:lang w:bidi="he-IL"/>
        </w:rPr>
      </w:pPr>
      <w:r w:rsidRPr="00BD474B">
        <w:rPr>
          <w:rFonts w:hint="cs"/>
          <w:b/>
          <w:bCs/>
          <w:rtl/>
          <w:lang w:bidi="he-IL"/>
        </w:rPr>
        <w:t xml:space="preserve">ריטב"א </w:t>
      </w:r>
      <w:r w:rsidRPr="00BD474B">
        <w:rPr>
          <w:rFonts w:hint="cs"/>
          <w:rtl/>
          <w:lang w:bidi="he-IL"/>
        </w:rPr>
        <w:t>כח. (ד"ה ואם תקע יצא) [עד "...מגופו דסנדל"]</w:t>
      </w:r>
    </w:p>
    <w:p w14:paraId="6B7E7DF6" w14:textId="66A3BAB7" w:rsidR="00DD4EC0" w:rsidRDefault="00DD4EC0" w:rsidP="007F4757">
      <w:pPr>
        <w:jc w:val="right"/>
        <w:rPr>
          <w:rtl/>
          <w:lang w:bidi="he-IL"/>
        </w:rPr>
      </w:pPr>
      <w:r w:rsidRPr="00DD4EC0">
        <w:rPr>
          <w:rFonts w:hint="cs"/>
          <w:b/>
          <w:bCs/>
          <w:rtl/>
          <w:lang w:bidi="he-IL"/>
        </w:rPr>
        <w:t>ריטב"א</w:t>
      </w:r>
      <w:r>
        <w:rPr>
          <w:rFonts w:hint="cs"/>
          <w:b/>
          <w:bCs/>
          <w:rtl/>
          <w:lang w:bidi="he-IL"/>
        </w:rPr>
        <w:t xml:space="preserve"> </w:t>
      </w:r>
      <w:r w:rsidRPr="00DD4EC0">
        <w:rPr>
          <w:rFonts w:hint="cs"/>
          <w:rtl/>
          <w:lang w:bidi="he-IL"/>
        </w:rPr>
        <w:t>יבמות</w:t>
      </w:r>
      <w:r>
        <w:rPr>
          <w:rFonts w:hint="cs"/>
          <w:b/>
          <w:bCs/>
          <w:rtl/>
          <w:lang w:bidi="he-IL"/>
        </w:rPr>
        <w:t xml:space="preserve"> </w:t>
      </w:r>
      <w:r w:rsidRPr="00DD4EC0">
        <w:rPr>
          <w:rFonts w:hint="cs"/>
          <w:rtl/>
          <w:lang w:bidi="he-IL"/>
        </w:rPr>
        <w:t>קג:</w:t>
      </w:r>
      <w:r>
        <w:rPr>
          <w:rFonts w:hint="cs"/>
          <w:rtl/>
          <w:lang w:bidi="he-IL"/>
        </w:rPr>
        <w:t xml:space="preserve"> (ד"ה וסנדל)*</w:t>
      </w:r>
    </w:p>
    <w:p w14:paraId="323EFA6A" w14:textId="135E693D" w:rsidR="00DD4EC0" w:rsidRDefault="00DD4EC0" w:rsidP="007F4757">
      <w:pPr>
        <w:jc w:val="right"/>
        <w:rPr>
          <w:rtl/>
          <w:lang w:bidi="he-IL"/>
        </w:rPr>
      </w:pPr>
      <w:r w:rsidRPr="00DD4EC0">
        <w:rPr>
          <w:rFonts w:hint="cs"/>
          <w:b/>
          <w:bCs/>
          <w:rtl/>
          <w:lang w:bidi="he-IL"/>
        </w:rPr>
        <w:t>רמב"ן</w:t>
      </w:r>
      <w:r>
        <w:rPr>
          <w:rFonts w:hint="cs"/>
          <w:rtl/>
          <w:lang w:bidi="he-IL"/>
        </w:rPr>
        <w:t xml:space="preserve"> שם (ד"ה סנדל)*</w:t>
      </w:r>
    </w:p>
    <w:p w14:paraId="582C0C9A" w14:textId="1BC32629" w:rsidR="00DD4EC0" w:rsidRDefault="00DD4EC0" w:rsidP="007F4757">
      <w:pPr>
        <w:jc w:val="right"/>
        <w:rPr>
          <w:rtl/>
          <w:lang w:bidi="he-IL"/>
        </w:rPr>
      </w:pPr>
      <w:r w:rsidRPr="00DD4EC0">
        <w:rPr>
          <w:rFonts w:hint="cs"/>
          <w:b/>
          <w:bCs/>
          <w:rtl/>
          <w:lang w:bidi="he-IL"/>
        </w:rPr>
        <w:t>מאירי</w:t>
      </w:r>
      <w:r>
        <w:rPr>
          <w:rFonts w:hint="cs"/>
          <w:rtl/>
          <w:lang w:bidi="he-IL"/>
        </w:rPr>
        <w:t xml:space="preserve"> שם (ד"ה סנדל של ע"ז)*</w:t>
      </w:r>
    </w:p>
    <w:p w14:paraId="020B0AA1" w14:textId="0F99E613" w:rsidR="00DD4EC0" w:rsidRDefault="00DD4EC0" w:rsidP="00DD4EC0">
      <w:pPr>
        <w:jc w:val="right"/>
        <w:rPr>
          <w:rtl/>
          <w:lang w:bidi="he-IL"/>
        </w:rPr>
      </w:pPr>
      <w:r w:rsidRPr="00BD474B">
        <w:rPr>
          <w:rFonts w:hint="cs"/>
          <w:b/>
          <w:bCs/>
          <w:rtl/>
          <w:lang w:bidi="he-IL"/>
        </w:rPr>
        <w:t>ר"ן</w:t>
      </w:r>
      <w:r w:rsidRPr="00BD474B">
        <w:rPr>
          <w:rFonts w:hint="cs"/>
          <w:rtl/>
          <w:lang w:bidi="he-IL"/>
        </w:rPr>
        <w:t xml:space="preserve"> סוכה יד. (בדפי הרי"ף) [ד"ה של אשרה]*</w:t>
      </w:r>
    </w:p>
    <w:p w14:paraId="1ADCC901" w14:textId="5F60FBD5" w:rsidR="003E08E7" w:rsidRDefault="003E08E7" w:rsidP="00C51A51">
      <w:pPr>
        <w:jc w:val="right"/>
        <w:rPr>
          <w:rtl/>
          <w:lang w:bidi="he-IL"/>
        </w:rPr>
      </w:pPr>
      <w:r w:rsidRPr="003E08E7">
        <w:rPr>
          <w:rFonts w:hint="cs"/>
          <w:b/>
          <w:bCs/>
          <w:rtl/>
          <w:lang w:bidi="he-IL"/>
        </w:rPr>
        <w:t>שער המלך</w:t>
      </w:r>
      <w:r>
        <w:rPr>
          <w:rFonts w:hint="cs"/>
          <w:b/>
          <w:bCs/>
          <w:rtl/>
          <w:lang w:bidi="he-IL"/>
        </w:rPr>
        <w:t xml:space="preserve"> </w:t>
      </w:r>
      <w:r>
        <w:rPr>
          <w:rFonts w:hint="cs"/>
          <w:rtl/>
          <w:lang w:bidi="he-IL"/>
        </w:rPr>
        <w:t>הל' שופר (ח:א) [ד"ה הן אמת]*</w:t>
      </w:r>
    </w:p>
    <w:p w14:paraId="70DFDBF4" w14:textId="77777777" w:rsidR="00E22A6B" w:rsidRDefault="00E22A6B" w:rsidP="007F4757">
      <w:pPr>
        <w:jc w:val="right"/>
        <w:rPr>
          <w:rtl/>
          <w:lang w:bidi="he-IL"/>
        </w:rPr>
      </w:pPr>
    </w:p>
    <w:p w14:paraId="7F395248" w14:textId="77777777" w:rsidR="00DD4EC0" w:rsidRPr="00DD4EC0" w:rsidRDefault="00DD4EC0" w:rsidP="00DD4EC0">
      <w:pPr>
        <w:jc w:val="right"/>
        <w:rPr>
          <w:u w:val="single"/>
        </w:rPr>
      </w:pPr>
      <w:r w:rsidRPr="00DD4EC0">
        <w:rPr>
          <w:rFonts w:cs="Arial"/>
          <w:u w:val="single"/>
          <w:rtl/>
          <w:lang w:bidi="he-IL"/>
        </w:rPr>
        <w:t>חידושי הריטב"א מסכת יבמות דף קג עמוד ב</w:t>
      </w:r>
    </w:p>
    <w:p w14:paraId="2054229C" w14:textId="27F80B19" w:rsidR="00DD4EC0" w:rsidRDefault="00DD4EC0" w:rsidP="00DD4EC0">
      <w:pPr>
        <w:jc w:val="right"/>
        <w:rPr>
          <w:rFonts w:cs="Arial"/>
          <w:rtl/>
          <w:lang w:bidi="he-IL"/>
        </w:rPr>
      </w:pPr>
      <w:r>
        <w:rPr>
          <w:rFonts w:cs="Arial"/>
          <w:rtl/>
          <w:lang w:bidi="he-IL"/>
        </w:rPr>
        <w:t xml:space="preserve">וסנדל של ע"ז לא תחלוץ ואם חלצה חליצתה כשרה. פרש"י ז"ל </w:t>
      </w:r>
      <w:r>
        <w:rPr>
          <w:rFonts w:cs="Arial" w:hint="cs"/>
          <w:rtl/>
          <w:lang w:bidi="he-IL"/>
        </w:rPr>
        <w:t xml:space="preserve">... </w:t>
      </w:r>
      <w:r>
        <w:rPr>
          <w:rFonts w:cs="Arial"/>
          <w:rtl/>
          <w:lang w:bidi="he-IL"/>
        </w:rPr>
        <w:t>ואי משום דאיסורי הנאה הוא, מצות לא ליהנות ניתנו, וא"ת והרי נהנית בסנדל של ע"ז שנתרת לשוק וגובה כתובתה, י"א דאע"ג דאיהי נהנית ועבדא איסורא מ"מ חליצה כשרה היא, וליתא דא"כ למה לן התם (ר"ה כ"ח א') גבי שופר ולולב של ע"ז דלהכי יצא משום מצות לאו ליהנות ניתנו נימא דאע"ג דנהנה באיסור מ"מ מאי דעבד עבד, אלא ודאי דהאי טעמא ליתא, דכיון דהנאתו תלויה ביציאתו נימא לא יצא ולא יהנה, דכשאתה אומר יצא או שחליצתה כשרה אז הוא נהנה, אבל הנכון דלא חשיבא הנאה באיסורי הנאה אלא כשנהנה בגופו אבל התירה לשוק וזכייתה בכתובה אין זה מגופה של סנדל ואין החליצה אלא כגרמא בעלמא, הא למה זה דומה למודר הנאה ממעיין שטובל בו בימות הגשמים (ר"ה שם) ואף על פי שבטבילה זו הוא נטהר מטומאתו לכמה דברים</w:t>
      </w:r>
      <w:r>
        <w:rPr>
          <w:rFonts w:cs="Arial" w:hint="cs"/>
          <w:rtl/>
          <w:lang w:bidi="he-IL"/>
        </w:rPr>
        <w:t>.</w:t>
      </w:r>
    </w:p>
    <w:p w14:paraId="4EAAF3BB" w14:textId="77777777" w:rsidR="00DD4EC0" w:rsidRPr="00DD4EC0" w:rsidRDefault="00DD4EC0" w:rsidP="00DD4EC0">
      <w:pPr>
        <w:jc w:val="right"/>
        <w:rPr>
          <w:rFonts w:cs="Arial"/>
          <w:u w:val="single"/>
        </w:rPr>
      </w:pPr>
      <w:r w:rsidRPr="00DD4EC0">
        <w:rPr>
          <w:rFonts w:cs="Arial"/>
          <w:u w:val="single"/>
          <w:rtl/>
          <w:lang w:bidi="he-IL"/>
        </w:rPr>
        <w:t>חידושי הרמב"ן מסכת יבמות דף קג עמוד ב</w:t>
      </w:r>
    </w:p>
    <w:p w14:paraId="71CE91ED" w14:textId="0466CE59" w:rsidR="00DD4EC0" w:rsidRDefault="00DD4EC0" w:rsidP="00DD4EC0">
      <w:pPr>
        <w:ind w:left="-90"/>
        <w:jc w:val="right"/>
        <w:rPr>
          <w:rFonts w:cs="Arial"/>
          <w:rtl/>
          <w:lang w:bidi="he-IL"/>
        </w:rPr>
      </w:pPr>
      <w:r w:rsidRPr="00DD4EC0">
        <w:rPr>
          <w:rFonts w:cs="Arial"/>
          <w:rtl/>
          <w:lang w:bidi="he-IL"/>
        </w:rPr>
        <w:t xml:space="preserve">סנדל של עכו"ם לא תחלוץ ואם חלצה חליצתה כשירה. </w:t>
      </w:r>
      <w:r>
        <w:rPr>
          <w:rFonts w:cs="Arial" w:hint="cs"/>
          <w:rtl/>
          <w:lang w:bidi="he-IL"/>
        </w:rPr>
        <w:t>...</w:t>
      </w:r>
      <w:r w:rsidRPr="00DD4EC0">
        <w:rPr>
          <w:rFonts w:cs="Arial"/>
          <w:rtl/>
          <w:lang w:bidi="he-IL"/>
        </w:rPr>
        <w:t xml:space="preserve"> ואי משום איסורי הנאה חליצה לאו הנאה היא דמצות לאו ליהנות נתנו, ואף על גב דהכא בעיא לאינסובי ובלא חליצה לא נסבי לה, כיון דלא מעכב בה אלא מצוה לאו הנאה היא</w:t>
      </w:r>
      <w:r>
        <w:rPr>
          <w:rFonts w:cs="Arial" w:hint="cs"/>
          <w:rtl/>
          <w:lang w:bidi="he-IL"/>
        </w:rPr>
        <w:t>.</w:t>
      </w:r>
      <w:r w:rsidRPr="00DD4EC0">
        <w:rPr>
          <w:rFonts w:cs="Arial"/>
          <w:rtl/>
          <w:lang w:bidi="he-IL"/>
        </w:rPr>
        <w:t xml:space="preserve"> ולכתחילה לא תחלוץ מפני שנראית כנהנית, ועוד דכל למצוה מאיס, ויש מפרש לכתחילה לא תחלוץ משום דנהנית שנשאת בו, ואם חלצה חליצתה כשירה נהי דעבדה איסורא חליצתה לא מיפסלא, ולא דייק לי מהא דגרסינן בפרק ראוהו ב"ד רבא אמר אחד זה ואחד זה לא יצא הדר אמר רבא אחד זה ואחד זה יצא מאי טעמא מצות לאו ליהנות ניתנו, אלמא אי ניתנו ליהנות כיון שאם יצא נהנה ועבד איסורא, ואי לא יצא לא עשה ולא כלום ונמצא שלא נהנה, אמרינן דלא יצא</w:t>
      </w:r>
      <w:r>
        <w:rPr>
          <w:rFonts w:cs="Arial" w:hint="cs"/>
          <w:rtl/>
          <w:lang w:bidi="he-IL"/>
        </w:rPr>
        <w:t>.</w:t>
      </w:r>
    </w:p>
    <w:p w14:paraId="2ECC722A" w14:textId="77777777" w:rsidR="00DD4EC0" w:rsidRPr="00DD4EC0" w:rsidRDefault="00DD4EC0" w:rsidP="00DD4EC0">
      <w:pPr>
        <w:jc w:val="right"/>
        <w:rPr>
          <w:rFonts w:cs="Arial"/>
          <w:u w:val="single"/>
        </w:rPr>
      </w:pPr>
      <w:r w:rsidRPr="00DD4EC0">
        <w:rPr>
          <w:rFonts w:cs="Arial"/>
          <w:u w:val="single"/>
          <w:rtl/>
          <w:lang w:bidi="he-IL"/>
        </w:rPr>
        <w:t>בית הבחירה למאירי מסכת יבמות דף קג עמוד ב</w:t>
      </w:r>
    </w:p>
    <w:p w14:paraId="64540919" w14:textId="028C656C" w:rsidR="00E22A6B" w:rsidRDefault="00DD4EC0" w:rsidP="00E22A6B">
      <w:pPr>
        <w:jc w:val="right"/>
        <w:rPr>
          <w:rFonts w:cs="Arial"/>
          <w:rtl/>
          <w:lang w:bidi="he-IL"/>
        </w:rPr>
      </w:pPr>
      <w:r w:rsidRPr="00DD4EC0">
        <w:rPr>
          <w:rFonts w:cs="Arial"/>
          <w:rtl/>
          <w:lang w:bidi="he-IL"/>
        </w:rPr>
        <w:t xml:space="preserve">סנדל של ע"ז </w:t>
      </w:r>
      <w:r>
        <w:rPr>
          <w:rFonts w:cs="Arial" w:hint="cs"/>
          <w:rtl/>
          <w:lang w:bidi="he-IL"/>
        </w:rPr>
        <w:t>...</w:t>
      </w:r>
      <w:r w:rsidRPr="00DD4EC0">
        <w:rPr>
          <w:rFonts w:cs="Arial"/>
          <w:rtl/>
          <w:lang w:bidi="he-IL"/>
        </w:rPr>
        <w:t xml:space="preserve"> אבל אם חלצה חליצתה כשרה </w:t>
      </w:r>
      <w:r>
        <w:rPr>
          <w:rFonts w:cs="Arial" w:hint="cs"/>
          <w:rtl/>
          <w:lang w:bidi="he-IL"/>
        </w:rPr>
        <w:t>...</w:t>
      </w:r>
      <w:r w:rsidRPr="00DD4EC0">
        <w:rPr>
          <w:rFonts w:cs="Arial"/>
          <w:rtl/>
          <w:lang w:bidi="he-IL"/>
        </w:rPr>
        <w:t xml:space="preserve"> ואם מאיסור הנאה מצות לאו ליהנות ניתנו והרי מכל מקום אין לה הנאת הגוף מגוף המנעל ומה שהיא ניתרת בכך מאיליו הוא בא והוה ליה כמודר הנאה ממעין שטובל בו בימות הגשמים הואיל ואין לו הנאת הגוף מן המעין אף על פי שהותר בכך לאכילת קדשים וטהרות</w:t>
      </w:r>
      <w:r w:rsidR="003E08E7">
        <w:rPr>
          <w:rFonts w:cs="Arial" w:hint="cs"/>
          <w:rtl/>
          <w:lang w:bidi="he-IL"/>
        </w:rPr>
        <w:t>.</w:t>
      </w:r>
    </w:p>
    <w:p w14:paraId="5F1BA1CC" w14:textId="77777777" w:rsidR="00E22A6B" w:rsidRDefault="00E22A6B" w:rsidP="00E22A6B">
      <w:pPr>
        <w:jc w:val="right"/>
        <w:rPr>
          <w:rFonts w:cs="Arial"/>
          <w:rtl/>
          <w:lang w:bidi="he-IL"/>
        </w:rPr>
      </w:pPr>
    </w:p>
    <w:p w14:paraId="302BB6B1" w14:textId="77777777" w:rsidR="00DD4EC0" w:rsidRPr="005538B7" w:rsidRDefault="00DD4EC0" w:rsidP="00DD4EC0">
      <w:pPr>
        <w:ind w:left="-360"/>
        <w:jc w:val="right"/>
        <w:rPr>
          <w:rFonts w:cs="Arial"/>
          <w:u w:val="single"/>
        </w:rPr>
      </w:pPr>
      <w:r w:rsidRPr="005538B7">
        <w:rPr>
          <w:rFonts w:cs="Arial"/>
          <w:u w:val="single"/>
          <w:rtl/>
          <w:lang w:bidi="he-IL"/>
        </w:rPr>
        <w:lastRenderedPageBreak/>
        <w:t>ר"ן על הרי"ף מסכת סוכה דף יד עמוד א</w:t>
      </w:r>
    </w:p>
    <w:p w14:paraId="180C7633" w14:textId="698CC495" w:rsidR="00DD4EC0" w:rsidRDefault="00DD4EC0" w:rsidP="00DD4EC0">
      <w:pPr>
        <w:ind w:left="-360"/>
        <w:jc w:val="right"/>
        <w:rPr>
          <w:rFonts w:cs="Arial"/>
          <w:rtl/>
          <w:lang w:bidi="he-IL"/>
        </w:rPr>
      </w:pPr>
      <w:r w:rsidRPr="005538B7">
        <w:rPr>
          <w:rFonts w:cs="Arial"/>
          <w:rtl/>
          <w:lang w:bidi="he-IL"/>
        </w:rPr>
        <w:t>וטעמא דיצא משום דמצות לאו ליהנות ניתנו ואף על פי שמקבל עליהן שכר אין זה אלא גרמא בעלמא כענין שאמרו המודר הנאה ממעין טובל בו בימות הגשמים כיון שאינו נהנה בגוף המים ואף על פי שגורמת לו טבילה זו לעלות מטומאה לטהרה ומכשירתו לכמה דברים לית לן בה וכדאמרינן נמי בסנדל של ע"ז דלא תחלוץ ואם חלצה חליצתה כשרה משום דמצות לאו ליהנות נתנו ואף על גב דמרווחא טובא בההיא חליצה אפ"ה כיון דלא מתהניא מגופו של אסור גרמא בעלמא הוא ולית לן בה</w:t>
      </w:r>
      <w:r w:rsidRPr="005538B7">
        <w:rPr>
          <w:rFonts w:cs="Arial" w:hint="cs"/>
          <w:rtl/>
          <w:lang w:bidi="he-IL"/>
        </w:rPr>
        <w:t>:</w:t>
      </w:r>
    </w:p>
    <w:p w14:paraId="6F06221D" w14:textId="77777777" w:rsidR="003E08E7" w:rsidRPr="003E08E7" w:rsidRDefault="003E08E7" w:rsidP="003E08E7">
      <w:pPr>
        <w:ind w:left="-360"/>
        <w:jc w:val="right"/>
        <w:rPr>
          <w:rFonts w:cs="Arial"/>
          <w:u w:val="single"/>
        </w:rPr>
      </w:pPr>
      <w:r w:rsidRPr="003E08E7">
        <w:rPr>
          <w:rFonts w:cs="Arial"/>
          <w:u w:val="single"/>
          <w:rtl/>
          <w:lang w:bidi="he-IL"/>
        </w:rPr>
        <w:t>שער המלך הלכות שופר וסוכה ולולב פרק ח הלכה א</w:t>
      </w:r>
    </w:p>
    <w:p w14:paraId="585E662A" w14:textId="0F2B3387" w:rsidR="003E08E7" w:rsidRPr="005538B7" w:rsidRDefault="003E08E7" w:rsidP="003E08E7">
      <w:pPr>
        <w:ind w:left="-360"/>
        <w:jc w:val="right"/>
        <w:rPr>
          <w:rFonts w:cs="Arial"/>
          <w:rtl/>
          <w:lang w:bidi="he-IL"/>
        </w:rPr>
      </w:pPr>
      <w:r w:rsidRPr="003E08E7">
        <w:rPr>
          <w:rFonts w:cs="Arial"/>
          <w:rtl/>
          <w:lang w:bidi="he-IL"/>
        </w:rPr>
        <w:t>ומ"מ נראה דאף הכלבו ז"ל</w:t>
      </w:r>
      <w:r>
        <w:rPr>
          <w:rStyle w:val="FootnoteReference"/>
          <w:rFonts w:cs="Arial"/>
          <w:rtl/>
          <w:lang w:bidi="he-IL"/>
        </w:rPr>
        <w:footnoteReference w:id="2"/>
      </w:r>
      <w:r w:rsidRPr="003E08E7">
        <w:rPr>
          <w:rFonts w:cs="Arial"/>
          <w:rtl/>
          <w:lang w:bidi="he-IL"/>
        </w:rPr>
        <w:t xml:space="preserve"> מודה דאם תקע המודר עצמו דיצא ואף על גב דכי תקע באיסורא תקע משום דכיון דאמרי' שהנאת המצוה לא חשיבא הנאה משום דעביד איסורא שנהנה גופו לא מפסל בהכי משום דאפי' נימא דלא יצא סוף איסורא מאן פקע ליה שהרי נהנה גופו מקול תקיעתו והא דאמר רבא התם אימת מעל לבתר דתקע כי תקע באיסורא קא תקע דמשמע דמשום האי טעמא אמרינן דלא יצא לק"מ דהתם לפום מאי דס"ד דמצות ליהנות ניתנו פריך ליה שפיר דהיכי אמרינן דיצא י"ח כדי שיהנה גופו משופר עולה במה שמקיים המצוה דנהי דכבר עבד איסורא במה שנהנה מקול תקיעתו מכל מקום היכי שרינן ליה להוסיף על חטאתו פשע ושיהנה ג"כ בקיום המצוה מן הראוי לנו לומר שלא יצא י"ח כדי שלא יהנה אמנם לפום מאי דמסיק דמצות לאו ליהנות ניתנו א"כ הנאת המצוה לאו הנאה היא ואי משום דנהנה גופו מקול תקיעתו כיון דלא מיתקן במאי דאמרינן לא יצא י"ח אמרינן דיצא י"ח ואיסורא דעבד עבד</w:t>
      </w:r>
      <w:r w:rsidR="00E22A6B">
        <w:rPr>
          <w:rFonts w:cs="Arial" w:hint="cs"/>
          <w:rtl/>
          <w:lang w:bidi="he-IL"/>
        </w:rPr>
        <w:t>.</w:t>
      </w:r>
    </w:p>
    <w:p w14:paraId="0E496170" w14:textId="77777777" w:rsidR="00DD4EC0" w:rsidRPr="00BD474B" w:rsidRDefault="00DD4EC0" w:rsidP="00DD4EC0">
      <w:pPr>
        <w:jc w:val="right"/>
        <w:rPr>
          <w:rtl/>
          <w:lang w:bidi="he-IL"/>
        </w:rPr>
      </w:pPr>
    </w:p>
    <w:p w14:paraId="3B338E85" w14:textId="77777777" w:rsidR="008530F9" w:rsidRDefault="00667171" w:rsidP="007F4757">
      <w:pPr>
        <w:jc w:val="right"/>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7375" w14:textId="77777777" w:rsidR="00667171" w:rsidRDefault="00667171" w:rsidP="007F4757">
      <w:pPr>
        <w:spacing w:after="0" w:line="240" w:lineRule="auto"/>
      </w:pPr>
      <w:r>
        <w:separator/>
      </w:r>
    </w:p>
  </w:endnote>
  <w:endnote w:type="continuationSeparator" w:id="0">
    <w:p w14:paraId="0A9924E4" w14:textId="77777777" w:rsidR="00667171" w:rsidRDefault="00667171" w:rsidP="007F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2DF9" w14:textId="77777777" w:rsidR="00667171" w:rsidRDefault="00667171" w:rsidP="007F4757">
      <w:pPr>
        <w:spacing w:after="0" w:line="240" w:lineRule="auto"/>
      </w:pPr>
      <w:r>
        <w:separator/>
      </w:r>
    </w:p>
  </w:footnote>
  <w:footnote w:type="continuationSeparator" w:id="0">
    <w:p w14:paraId="7EA9479F" w14:textId="77777777" w:rsidR="00667171" w:rsidRDefault="00667171" w:rsidP="007F4757">
      <w:pPr>
        <w:spacing w:after="0" w:line="240" w:lineRule="auto"/>
      </w:pPr>
      <w:r>
        <w:continuationSeparator/>
      </w:r>
    </w:p>
  </w:footnote>
  <w:footnote w:id="1">
    <w:p w14:paraId="1033A941" w14:textId="38DC62D7" w:rsidR="007F4757" w:rsidRPr="007F4757" w:rsidRDefault="007F4757" w:rsidP="007F4757">
      <w:pPr>
        <w:pStyle w:val="FootnoteText"/>
        <w:rPr>
          <w:sz w:val="16"/>
          <w:szCs w:val="16"/>
          <w:lang w:bidi="he-IL"/>
        </w:rPr>
      </w:pPr>
      <w:r w:rsidRPr="00913B0A">
        <w:rPr>
          <w:rStyle w:val="FootnoteReference"/>
          <w:sz w:val="16"/>
          <w:szCs w:val="16"/>
        </w:rPr>
        <w:footnoteRef/>
      </w:r>
      <w:r w:rsidRPr="00913B0A">
        <w:rPr>
          <w:sz w:val="16"/>
          <w:szCs w:val="16"/>
        </w:rPr>
        <w:t xml:space="preserve"> </w:t>
      </w:r>
      <w:r>
        <w:rPr>
          <w:rFonts w:hint="cs"/>
          <w:sz w:val="16"/>
          <w:szCs w:val="16"/>
          <w:lang w:bidi="he-IL"/>
        </w:rPr>
        <w:t>C</w:t>
      </w:r>
      <w:r w:rsidRPr="007F4757">
        <w:rPr>
          <w:sz w:val="16"/>
          <w:szCs w:val="16"/>
          <w:lang w:bidi="he-IL"/>
        </w:rPr>
        <w:t xml:space="preserve">ertain mitzvos also include non-spiritual benefits [ex: </w:t>
      </w:r>
      <w:r w:rsidRPr="007F4757">
        <w:rPr>
          <w:rFonts w:hint="cs"/>
          <w:sz w:val="16"/>
          <w:szCs w:val="16"/>
          <w:rtl/>
          <w:lang w:bidi="he-IL"/>
        </w:rPr>
        <w:t>חליצה</w:t>
      </w:r>
      <w:r w:rsidRPr="007F4757">
        <w:rPr>
          <w:sz w:val="16"/>
          <w:szCs w:val="16"/>
          <w:lang w:bidi="he-IL"/>
        </w:rPr>
        <w:t xml:space="preserve"> - </w:t>
      </w:r>
      <w:r w:rsidRPr="007F4757">
        <w:rPr>
          <w:rFonts w:hint="cs"/>
          <w:sz w:val="16"/>
          <w:szCs w:val="16"/>
          <w:rtl/>
          <w:lang w:bidi="he-IL"/>
        </w:rPr>
        <w:t>היתר לשוק</w:t>
      </w:r>
      <w:r w:rsidRPr="007F4757">
        <w:rPr>
          <w:sz w:val="16"/>
          <w:szCs w:val="16"/>
          <w:lang w:bidi="he-IL"/>
        </w:rPr>
        <w:t xml:space="preserve"> and </w:t>
      </w:r>
      <w:r w:rsidRPr="007F4757">
        <w:rPr>
          <w:rFonts w:hint="cs"/>
          <w:sz w:val="16"/>
          <w:szCs w:val="16"/>
          <w:rtl/>
          <w:lang w:bidi="he-IL"/>
        </w:rPr>
        <w:t>גביית כתובה</w:t>
      </w:r>
      <w:r w:rsidRPr="007F4757">
        <w:rPr>
          <w:sz w:val="16"/>
          <w:szCs w:val="16"/>
          <w:lang w:bidi="he-IL"/>
        </w:rPr>
        <w:t xml:space="preserve">] and the issue </w:t>
      </w:r>
      <w:r>
        <w:rPr>
          <w:sz w:val="16"/>
          <w:szCs w:val="16"/>
          <w:lang w:bidi="he-IL"/>
        </w:rPr>
        <w:t>is</w:t>
      </w:r>
      <w:r w:rsidRPr="007F4757">
        <w:rPr>
          <w:sz w:val="16"/>
          <w:szCs w:val="16"/>
          <w:lang w:bidi="he-IL"/>
        </w:rPr>
        <w:t xml:space="preserve"> whether these benefits are included within </w:t>
      </w:r>
      <w:r w:rsidRPr="007F4757">
        <w:rPr>
          <w:sz w:val="16"/>
          <w:szCs w:val="16"/>
          <w:rtl/>
          <w:lang w:bidi="he-IL"/>
        </w:rPr>
        <w:t>מלל"נ</w:t>
      </w:r>
      <w:r w:rsidRPr="007F4757">
        <w:rPr>
          <w:sz w:val="16"/>
          <w:szCs w:val="16"/>
          <w:lang w:bidi="he-IL"/>
        </w:rPr>
        <w:t xml:space="preserve"> </w:t>
      </w:r>
      <w:r w:rsidR="006E41C2">
        <w:rPr>
          <w:sz w:val="16"/>
          <w:szCs w:val="16"/>
          <w:lang w:bidi="he-IL"/>
        </w:rPr>
        <w:t>or</w:t>
      </w:r>
      <w:r w:rsidRPr="007F4757">
        <w:rPr>
          <w:sz w:val="16"/>
          <w:szCs w:val="16"/>
          <w:lang w:bidi="he-IL"/>
        </w:rPr>
        <w:t xml:space="preserve"> whether they violate issurey hana'ah. </w:t>
      </w:r>
    </w:p>
    <w:p w14:paraId="76800009" w14:textId="28F0D68A" w:rsidR="007F4757" w:rsidRPr="00913B0A" w:rsidRDefault="007F4757" w:rsidP="007F4757">
      <w:pPr>
        <w:pStyle w:val="FootnoteText"/>
        <w:rPr>
          <w:sz w:val="16"/>
          <w:szCs w:val="16"/>
          <w:lang w:bidi="he-IL"/>
        </w:rPr>
      </w:pPr>
    </w:p>
  </w:footnote>
  <w:footnote w:id="2">
    <w:p w14:paraId="35FE64E6" w14:textId="0FDC09A3" w:rsidR="003E08E7" w:rsidRPr="003E08E7" w:rsidRDefault="003E08E7">
      <w:pPr>
        <w:pStyle w:val="FootnoteText"/>
        <w:rPr>
          <w:rFonts w:hint="cs"/>
          <w:sz w:val="16"/>
          <w:szCs w:val="16"/>
          <w:rtl/>
          <w:lang w:bidi="he-IL"/>
        </w:rPr>
      </w:pPr>
      <w:r w:rsidRPr="003E08E7">
        <w:rPr>
          <w:rStyle w:val="FootnoteReference"/>
          <w:sz w:val="16"/>
          <w:szCs w:val="16"/>
        </w:rPr>
        <w:footnoteRef/>
      </w:r>
      <w:r w:rsidRPr="003E08E7">
        <w:rPr>
          <w:sz w:val="16"/>
          <w:szCs w:val="16"/>
        </w:rPr>
        <w:t xml:space="preserve"> </w:t>
      </w:r>
      <w:r w:rsidRPr="003E08E7">
        <w:rPr>
          <w:rFonts w:hint="cs"/>
          <w:sz w:val="16"/>
          <w:szCs w:val="16"/>
          <w:lang w:bidi="he-IL"/>
        </w:rPr>
        <w:t>A</w:t>
      </w:r>
      <w:r w:rsidRPr="003E08E7">
        <w:rPr>
          <w:sz w:val="16"/>
          <w:szCs w:val="16"/>
          <w:lang w:bidi="he-IL"/>
        </w:rPr>
        <w:t xml:space="preserve">nd those mefarshim who think that </w:t>
      </w:r>
      <w:r w:rsidRPr="003E08E7">
        <w:rPr>
          <w:rFonts w:hint="cs"/>
          <w:sz w:val="16"/>
          <w:szCs w:val="16"/>
          <w:rtl/>
          <w:lang w:bidi="he-IL"/>
        </w:rPr>
        <w:t>הנאת הגוף</w:t>
      </w:r>
      <w:r w:rsidRPr="003E08E7">
        <w:rPr>
          <w:sz w:val="16"/>
          <w:szCs w:val="16"/>
          <w:lang w:bidi="he-IL"/>
        </w:rPr>
        <w:t xml:space="preserve"> isn't included within the </w:t>
      </w:r>
      <w:r w:rsidRPr="003E08E7">
        <w:rPr>
          <w:rFonts w:hint="cs"/>
          <w:sz w:val="16"/>
          <w:szCs w:val="16"/>
          <w:rtl/>
          <w:lang w:bidi="he-IL"/>
        </w:rPr>
        <w:t>היתר</w:t>
      </w:r>
      <w:r w:rsidRPr="003E08E7">
        <w:rPr>
          <w:sz w:val="16"/>
          <w:szCs w:val="16"/>
          <w:lang w:bidi="he-IL"/>
        </w:rPr>
        <w:t xml:space="preserve"> of </w:t>
      </w:r>
      <w:r w:rsidRPr="003E08E7">
        <w:rPr>
          <w:rFonts w:hint="cs"/>
          <w:sz w:val="16"/>
          <w:szCs w:val="16"/>
          <w:rtl/>
          <w:lang w:bidi="he-IL"/>
        </w:rPr>
        <w:t>מצות לאו ליהנות נתנו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57"/>
    <w:rsid w:val="003E08E7"/>
    <w:rsid w:val="00667171"/>
    <w:rsid w:val="006E41C2"/>
    <w:rsid w:val="007F4757"/>
    <w:rsid w:val="008A1AE2"/>
    <w:rsid w:val="00A46F84"/>
    <w:rsid w:val="00C51A51"/>
    <w:rsid w:val="00DD4EC0"/>
    <w:rsid w:val="00E22A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EAE"/>
  <w15:chartTrackingRefBased/>
  <w15:docId w15:val="{3EF81D6E-24F7-4E86-B32B-756C3024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4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757"/>
    <w:rPr>
      <w:sz w:val="20"/>
      <w:szCs w:val="20"/>
    </w:rPr>
  </w:style>
  <w:style w:type="character" w:styleId="FootnoteReference">
    <w:name w:val="footnote reference"/>
    <w:basedOn w:val="DefaultParagraphFont"/>
    <w:uiPriority w:val="99"/>
    <w:semiHidden/>
    <w:unhideWhenUsed/>
    <w:rsid w:val="007F4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2021-07-26T16:32:00Z</dcterms:created>
  <dcterms:modified xsi:type="dcterms:W3CDTF">2021-07-26T17:09:00Z</dcterms:modified>
</cp:coreProperties>
</file>