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55B6" w14:textId="77777777" w:rsidR="005448C1" w:rsidRPr="005448C1" w:rsidRDefault="005448C1" w:rsidP="005448C1">
      <w:pPr>
        <w:jc w:val="right"/>
        <w:rPr>
          <w:rtl/>
          <w:lang w:bidi="he-IL"/>
        </w:rPr>
      </w:pPr>
      <w:r w:rsidRPr="005448C1">
        <w:rPr>
          <w:rFonts w:hint="cs"/>
          <w:rtl/>
          <w:lang w:bidi="he-IL"/>
        </w:rPr>
        <w:t>הרב שמואל דוב ווייס</w:t>
      </w:r>
    </w:p>
    <w:p w14:paraId="6BBD16D5" w14:textId="44D55A93" w:rsidR="005448C1" w:rsidRPr="005448C1" w:rsidRDefault="005448C1" w:rsidP="005448C1">
      <w:pPr>
        <w:jc w:val="center"/>
        <w:rPr>
          <w:rtl/>
          <w:lang w:bidi="he-IL"/>
        </w:rPr>
      </w:pPr>
      <w:bookmarkStart w:id="0" w:name="_Hlk77771804"/>
      <w:r w:rsidRPr="005448C1">
        <w:rPr>
          <w:rFonts w:hint="cs"/>
          <w:b/>
          <w:bCs/>
          <w:sz w:val="30"/>
          <w:szCs w:val="30"/>
          <w:u w:val="single"/>
          <w:rtl/>
          <w:lang w:bidi="he-IL"/>
        </w:rPr>
        <w:t>מצות לאו ליהנות ניתנו</w:t>
      </w:r>
      <w:bookmarkEnd w:id="0"/>
      <w:r w:rsidRPr="005448C1">
        <w:rPr>
          <w:rFonts w:hint="cs"/>
          <w:rtl/>
          <w:lang w:bidi="he-IL"/>
        </w:rPr>
        <w:t xml:space="preserve"> (#</w:t>
      </w:r>
      <w:r>
        <w:rPr>
          <w:rFonts w:hint="cs"/>
          <w:rtl/>
          <w:lang w:bidi="he-IL"/>
        </w:rPr>
        <w:t>4</w:t>
      </w:r>
      <w:r w:rsidRPr="005448C1">
        <w:rPr>
          <w:rFonts w:hint="cs"/>
          <w:rtl/>
          <w:lang w:bidi="he-IL"/>
        </w:rPr>
        <w:t>)</w:t>
      </w:r>
    </w:p>
    <w:p w14:paraId="5021E2E9" w14:textId="2CB7BA8F" w:rsidR="005448C1" w:rsidRDefault="005448C1" w:rsidP="005448C1">
      <w:pPr>
        <w:jc w:val="right"/>
        <w:rPr>
          <w:rFonts w:cs="Arial"/>
          <w:vertAlign w:val="superscript"/>
          <w:lang w:bidi="he-IL"/>
        </w:rPr>
      </w:pPr>
      <w:r w:rsidRPr="005448C1">
        <w:rPr>
          <w:rFonts w:hint="cs"/>
          <w:u w:val="single"/>
          <w:rtl/>
          <w:lang w:bidi="he-IL"/>
        </w:rPr>
        <w:t xml:space="preserve">יסוד של </w:t>
      </w:r>
      <w:r w:rsidRPr="005448C1">
        <w:rPr>
          <w:rFonts w:cs="Arial"/>
          <w:u w:val="single"/>
          <w:rtl/>
          <w:lang w:bidi="he-IL"/>
        </w:rPr>
        <w:t>מצות לאו ליהנות ניתנו</w:t>
      </w:r>
    </w:p>
    <w:p w14:paraId="5C0D7446" w14:textId="77777777" w:rsidR="007627B4" w:rsidRDefault="007627B4" w:rsidP="005448C1">
      <w:pPr>
        <w:jc w:val="right"/>
        <w:rPr>
          <w:rFonts w:cs="Arial"/>
          <w:rtl/>
          <w:lang w:bidi="he-IL"/>
        </w:rPr>
      </w:pPr>
      <w:r w:rsidRPr="007627B4">
        <w:rPr>
          <w:rFonts w:cs="Arial" w:hint="cs"/>
          <w:b/>
          <w:bCs/>
          <w:rtl/>
          <w:lang w:bidi="he-IL"/>
        </w:rPr>
        <w:t>בעל</w:t>
      </w:r>
      <w:r>
        <w:rPr>
          <w:rFonts w:cs="Arial" w:hint="cs"/>
          <w:b/>
          <w:bCs/>
          <w:rtl/>
          <w:lang w:bidi="he-IL"/>
        </w:rPr>
        <w:t xml:space="preserve"> המאור</w:t>
      </w:r>
      <w:r>
        <w:rPr>
          <w:rFonts w:cs="Arial" w:hint="cs"/>
          <w:rtl/>
          <w:lang w:bidi="he-IL"/>
        </w:rPr>
        <w:t xml:space="preserve"> ז. בדפי הרי"ף (ד"ה אמר רבא) [עד "...גמועי"]</w:t>
      </w:r>
    </w:p>
    <w:p w14:paraId="5269D1FF" w14:textId="77777777" w:rsidR="007627B4" w:rsidRDefault="007627B4" w:rsidP="005448C1">
      <w:pPr>
        <w:jc w:val="right"/>
        <w:rPr>
          <w:rFonts w:cs="Arial"/>
          <w:rtl/>
          <w:lang w:bidi="he-IL"/>
        </w:rPr>
      </w:pPr>
      <w:r w:rsidRPr="007627B4">
        <w:rPr>
          <w:rFonts w:cs="Arial" w:hint="cs"/>
          <w:b/>
          <w:bCs/>
          <w:rtl/>
          <w:lang w:bidi="he-IL"/>
        </w:rPr>
        <w:t>מאירי</w:t>
      </w:r>
      <w:r>
        <w:rPr>
          <w:rFonts w:cs="Arial" w:hint="cs"/>
          <w:b/>
          <w:bCs/>
          <w:rtl/>
          <w:lang w:bidi="he-IL"/>
        </w:rPr>
        <w:t xml:space="preserve"> </w:t>
      </w:r>
      <w:r>
        <w:rPr>
          <w:rFonts w:cs="Arial" w:hint="cs"/>
          <w:rtl/>
          <w:lang w:bidi="he-IL"/>
        </w:rPr>
        <w:t xml:space="preserve"> כח. (ד"ה דברים הללו) [עד "... וכן כל כיוצא בזה"]</w:t>
      </w:r>
    </w:p>
    <w:p w14:paraId="78C2303E" w14:textId="2DB0A77F" w:rsidR="008D40CC" w:rsidRPr="008D40CC" w:rsidRDefault="008D40CC" w:rsidP="008D40CC">
      <w:pPr>
        <w:jc w:val="right"/>
        <w:rPr>
          <w:rFonts w:cs="Arial"/>
        </w:rPr>
      </w:pPr>
      <w:r w:rsidRPr="008D40CC">
        <w:rPr>
          <w:rFonts w:cs="Arial"/>
          <w:b/>
          <w:bCs/>
          <w:rtl/>
          <w:lang w:bidi="he-IL"/>
        </w:rPr>
        <w:t>שער המלך</w:t>
      </w:r>
      <w:r w:rsidRPr="008D40CC">
        <w:rPr>
          <w:rFonts w:cs="Arial"/>
          <w:rtl/>
          <w:lang w:bidi="he-IL"/>
        </w:rPr>
        <w:t xml:space="preserve"> הל</w:t>
      </w:r>
      <w:r>
        <w:rPr>
          <w:rFonts w:cs="Arial" w:hint="cs"/>
          <w:rtl/>
          <w:lang w:bidi="he-IL"/>
        </w:rPr>
        <w:t>'</w:t>
      </w:r>
      <w:r w:rsidRPr="008D40CC">
        <w:rPr>
          <w:rFonts w:cs="Arial"/>
          <w:rtl/>
          <w:lang w:bidi="he-IL"/>
        </w:rPr>
        <w:t xml:space="preserve"> לולב </w:t>
      </w:r>
      <w:r>
        <w:rPr>
          <w:rFonts w:cs="Arial" w:hint="cs"/>
          <w:rtl/>
          <w:lang w:bidi="he-IL"/>
        </w:rPr>
        <w:t>(</w:t>
      </w:r>
      <w:r w:rsidRPr="008D40CC">
        <w:rPr>
          <w:rFonts w:cs="Arial"/>
          <w:rtl/>
          <w:lang w:bidi="he-IL"/>
        </w:rPr>
        <w:t>פרק ח</w:t>
      </w:r>
      <w:r>
        <w:rPr>
          <w:rFonts w:cs="Arial" w:hint="cs"/>
          <w:rtl/>
          <w:lang w:bidi="he-IL"/>
        </w:rPr>
        <w:t>'</w:t>
      </w:r>
      <w:r w:rsidRPr="008D40CC">
        <w:rPr>
          <w:rFonts w:cs="Arial"/>
          <w:rtl/>
          <w:lang w:bidi="he-IL"/>
        </w:rPr>
        <w:t xml:space="preserve"> הלכה א</w:t>
      </w:r>
      <w:r>
        <w:rPr>
          <w:rFonts w:cs="Arial" w:hint="cs"/>
          <w:rtl/>
          <w:lang w:bidi="he-IL"/>
        </w:rPr>
        <w:t>')*</w:t>
      </w:r>
    </w:p>
    <w:p w14:paraId="65978C0C" w14:textId="2252FCFA" w:rsidR="00934F0F" w:rsidRPr="00934F0F" w:rsidRDefault="00934F0F" w:rsidP="00934F0F">
      <w:pPr>
        <w:jc w:val="right"/>
        <w:rPr>
          <w:rFonts w:cs="Arial"/>
        </w:rPr>
      </w:pPr>
      <w:r w:rsidRPr="00934F0F">
        <w:rPr>
          <w:rFonts w:cs="Arial"/>
          <w:b/>
          <w:bCs/>
          <w:rtl/>
          <w:lang w:bidi="he-IL"/>
        </w:rPr>
        <w:t>שו"ת שואל ומשיב</w:t>
      </w:r>
      <w:r w:rsidRPr="00934F0F">
        <w:rPr>
          <w:rFonts w:cs="Arial"/>
          <w:rtl/>
          <w:lang w:bidi="he-IL"/>
        </w:rPr>
        <w:t xml:space="preserve"> </w:t>
      </w:r>
      <w:r>
        <w:rPr>
          <w:rFonts w:cs="Arial" w:hint="cs"/>
          <w:rtl/>
          <w:lang w:bidi="he-IL"/>
        </w:rPr>
        <w:t>(</w:t>
      </w:r>
      <w:r w:rsidRPr="00934F0F">
        <w:rPr>
          <w:rFonts w:cs="Arial"/>
          <w:rtl/>
          <w:lang w:bidi="he-IL"/>
        </w:rPr>
        <w:t>מהדורה חמישאה סימן מ</w:t>
      </w:r>
      <w:r>
        <w:rPr>
          <w:rFonts w:cs="Arial" w:hint="cs"/>
          <w:rtl/>
          <w:lang w:bidi="he-IL"/>
        </w:rPr>
        <w:t>"</w:t>
      </w:r>
      <w:r w:rsidRPr="00934F0F">
        <w:rPr>
          <w:rFonts w:cs="Arial"/>
          <w:rtl/>
          <w:lang w:bidi="he-IL"/>
        </w:rPr>
        <w:t>ה</w:t>
      </w:r>
      <w:r>
        <w:rPr>
          <w:rFonts w:cs="Arial" w:hint="cs"/>
          <w:rtl/>
          <w:lang w:bidi="he-IL"/>
        </w:rPr>
        <w:t>)*</w:t>
      </w:r>
    </w:p>
    <w:p w14:paraId="7C08BC74" w14:textId="7246C922" w:rsidR="00457CBD" w:rsidRDefault="00457CBD" w:rsidP="00457CBD">
      <w:pPr>
        <w:ind w:left="-90"/>
        <w:jc w:val="right"/>
        <w:rPr>
          <w:rFonts w:cs="Arial"/>
          <w:rtl/>
          <w:lang w:bidi="he-IL"/>
        </w:rPr>
      </w:pPr>
      <w:r w:rsidRPr="00457CBD">
        <w:rPr>
          <w:rFonts w:cs="Arial"/>
          <w:b/>
          <w:bCs/>
          <w:rtl/>
          <w:lang w:bidi="he-IL"/>
        </w:rPr>
        <w:t>טורי אבן</w:t>
      </w:r>
      <w:r w:rsidRPr="00457CBD">
        <w:rPr>
          <w:rFonts w:cs="Arial"/>
          <w:rtl/>
          <w:lang w:bidi="he-IL"/>
        </w:rPr>
        <w:t xml:space="preserve"> כח</w:t>
      </w:r>
      <w:r>
        <w:rPr>
          <w:rFonts w:cs="Arial" w:hint="cs"/>
          <w:rtl/>
          <w:lang w:bidi="he-IL"/>
        </w:rPr>
        <w:t>.</w:t>
      </w:r>
      <w:r w:rsidRPr="00457CBD">
        <w:rPr>
          <w:rFonts w:cs="Arial"/>
          <w:rtl/>
          <w:lang w:bidi="he-IL"/>
        </w:rPr>
        <w:t xml:space="preserve"> </w:t>
      </w:r>
      <w:r>
        <w:rPr>
          <w:rFonts w:cs="Arial" w:hint="cs"/>
          <w:rtl/>
          <w:lang w:bidi="he-IL"/>
        </w:rPr>
        <w:t>(ד"ה הדר אמר רבא)*</w:t>
      </w:r>
    </w:p>
    <w:p w14:paraId="209F1ED4" w14:textId="607C98FB" w:rsidR="004D10DA" w:rsidRDefault="004D10DA" w:rsidP="00457CBD">
      <w:pPr>
        <w:ind w:left="-90"/>
        <w:jc w:val="right"/>
        <w:rPr>
          <w:rFonts w:cs="Arial"/>
          <w:rtl/>
          <w:lang w:bidi="he-IL"/>
        </w:rPr>
      </w:pPr>
      <w:r w:rsidRPr="008D40CC">
        <w:rPr>
          <w:rFonts w:cs="Arial"/>
          <w:b/>
          <w:bCs/>
          <w:rtl/>
          <w:lang w:bidi="he-IL"/>
        </w:rPr>
        <w:t>שער המלך</w:t>
      </w:r>
      <w:r>
        <w:rPr>
          <w:rFonts w:cs="Arial" w:hint="cs"/>
          <w:rtl/>
          <w:lang w:bidi="he-IL"/>
        </w:rPr>
        <w:t xml:space="preserve"> שם*</w:t>
      </w:r>
    </w:p>
    <w:p w14:paraId="2705BBC3" w14:textId="1187720F" w:rsidR="004D10DA" w:rsidRDefault="004D10DA" w:rsidP="00457CBD">
      <w:pPr>
        <w:ind w:left="-90"/>
        <w:jc w:val="right"/>
        <w:rPr>
          <w:rFonts w:cs="Arial"/>
          <w:rtl/>
          <w:lang w:bidi="he-IL"/>
        </w:rPr>
      </w:pPr>
      <w:r w:rsidRPr="00934F0F">
        <w:rPr>
          <w:rFonts w:cs="Arial"/>
          <w:b/>
          <w:bCs/>
          <w:rtl/>
          <w:lang w:bidi="he-IL"/>
        </w:rPr>
        <w:t>שו"ת שואל ומשיב</w:t>
      </w:r>
      <w:r>
        <w:rPr>
          <w:rFonts w:cs="Arial" w:hint="cs"/>
          <w:rtl/>
          <w:lang w:bidi="he-IL"/>
        </w:rPr>
        <w:t xml:space="preserve"> שם*</w:t>
      </w:r>
    </w:p>
    <w:p w14:paraId="142F7189" w14:textId="232AAABD" w:rsidR="008D14FB" w:rsidRDefault="008D14FB" w:rsidP="00457CBD">
      <w:pPr>
        <w:ind w:left="-90"/>
        <w:jc w:val="right"/>
        <w:rPr>
          <w:rFonts w:cs="Arial"/>
          <w:u w:val="single"/>
          <w:rtl/>
          <w:lang w:bidi="he-IL"/>
        </w:rPr>
      </w:pPr>
      <w:r>
        <w:rPr>
          <w:rFonts w:cs="Arial" w:hint="cs"/>
          <w:u w:val="single"/>
          <w:rtl/>
          <w:lang w:bidi="he-IL"/>
        </w:rPr>
        <w:t>הנאת הגוף</w:t>
      </w:r>
      <w:r w:rsidR="00913B0A" w:rsidRPr="00913B0A">
        <w:rPr>
          <w:rStyle w:val="FootnoteReference"/>
          <w:rFonts w:cs="Arial"/>
          <w:rtl/>
          <w:lang w:bidi="he-IL"/>
        </w:rPr>
        <w:footnoteReference w:id="1"/>
      </w:r>
    </w:p>
    <w:p w14:paraId="4BEEA21A" w14:textId="7A330BC3" w:rsidR="008D14FB" w:rsidRDefault="008D14FB" w:rsidP="00457CBD">
      <w:pPr>
        <w:ind w:left="-90"/>
        <w:jc w:val="right"/>
        <w:rPr>
          <w:rFonts w:cs="Arial"/>
          <w:rtl/>
          <w:lang w:bidi="he-IL"/>
        </w:rPr>
      </w:pPr>
      <w:r w:rsidRPr="008D14FB">
        <w:rPr>
          <w:rFonts w:cs="Arial" w:hint="cs"/>
          <w:b/>
          <w:bCs/>
          <w:rtl/>
          <w:lang w:bidi="he-IL"/>
        </w:rPr>
        <w:t>גמ'</w:t>
      </w:r>
      <w:r>
        <w:rPr>
          <w:rFonts w:cs="Arial" w:hint="cs"/>
          <w:b/>
          <w:bCs/>
          <w:rtl/>
          <w:lang w:bidi="he-IL"/>
        </w:rPr>
        <w:t xml:space="preserve"> </w:t>
      </w:r>
      <w:r w:rsidRPr="008D14FB">
        <w:rPr>
          <w:rFonts w:cs="Arial" w:hint="cs"/>
          <w:rtl/>
          <w:lang w:bidi="he-IL"/>
        </w:rPr>
        <w:t>כח.</w:t>
      </w:r>
      <w:r>
        <w:rPr>
          <w:rFonts w:cs="Arial" w:hint="cs"/>
          <w:rtl/>
          <w:lang w:bidi="he-IL"/>
        </w:rPr>
        <w:t xml:space="preserve"> ["אמר רבא המודר הנאה..." עד (ולא עד בכלל) "שלחו ליה..."]</w:t>
      </w:r>
    </w:p>
    <w:p w14:paraId="13572F5B" w14:textId="231B8AEB" w:rsidR="008D14FB" w:rsidRDefault="008D14FB" w:rsidP="00457CBD">
      <w:pPr>
        <w:ind w:left="-90"/>
        <w:jc w:val="right"/>
        <w:rPr>
          <w:rFonts w:cs="Arial"/>
          <w:rtl/>
          <w:lang w:bidi="he-IL"/>
        </w:rPr>
      </w:pPr>
      <w:r w:rsidRPr="008D14FB">
        <w:rPr>
          <w:rFonts w:cs="Arial" w:hint="cs"/>
          <w:b/>
          <w:bCs/>
          <w:rtl/>
          <w:lang w:bidi="he-IL"/>
        </w:rPr>
        <w:t>רש"י</w:t>
      </w:r>
      <w:r>
        <w:rPr>
          <w:rFonts w:cs="Arial" w:hint="cs"/>
          <w:rtl/>
          <w:lang w:bidi="he-IL"/>
        </w:rPr>
        <w:t xml:space="preserve"> שם [בפרט ד"ה חבירו מזה, אבל לא]</w:t>
      </w:r>
    </w:p>
    <w:p w14:paraId="682813E8" w14:textId="77777777" w:rsidR="00913B0A" w:rsidRPr="00BD474B" w:rsidRDefault="00913B0A" w:rsidP="00913B0A">
      <w:pPr>
        <w:jc w:val="right"/>
        <w:rPr>
          <w:rtl/>
          <w:lang w:bidi="he-IL"/>
        </w:rPr>
      </w:pPr>
      <w:r w:rsidRPr="00BD474B">
        <w:rPr>
          <w:rFonts w:hint="cs"/>
          <w:b/>
          <w:bCs/>
          <w:rtl/>
          <w:lang w:bidi="he-IL"/>
        </w:rPr>
        <w:t xml:space="preserve">ריטב"א </w:t>
      </w:r>
      <w:r w:rsidRPr="00BD474B">
        <w:rPr>
          <w:rFonts w:hint="cs"/>
          <w:rtl/>
          <w:lang w:bidi="he-IL"/>
        </w:rPr>
        <w:t>כח. (ד"ה ואם תקע יצא) [עד "...מגופו דסנדל"]</w:t>
      </w:r>
    </w:p>
    <w:p w14:paraId="649090F5" w14:textId="77777777" w:rsidR="00913B0A" w:rsidRPr="00BD474B" w:rsidRDefault="00913B0A" w:rsidP="00913B0A">
      <w:pPr>
        <w:jc w:val="right"/>
        <w:rPr>
          <w:rtl/>
          <w:lang w:bidi="he-IL"/>
        </w:rPr>
      </w:pPr>
      <w:r w:rsidRPr="00BD474B">
        <w:rPr>
          <w:rFonts w:hint="cs"/>
          <w:b/>
          <w:bCs/>
          <w:rtl/>
          <w:lang w:bidi="he-IL"/>
        </w:rPr>
        <w:t xml:space="preserve">ריטב"א </w:t>
      </w:r>
      <w:r w:rsidRPr="00BD474B">
        <w:rPr>
          <w:rFonts w:hint="cs"/>
          <w:rtl/>
          <w:lang w:bidi="he-IL"/>
        </w:rPr>
        <w:t>סוכה (לא:) [ד"ה והאמר רבא]*</w:t>
      </w:r>
    </w:p>
    <w:p w14:paraId="6ACBE703" w14:textId="77777777" w:rsidR="008D40CC" w:rsidRDefault="008D40CC" w:rsidP="005448C1">
      <w:pPr>
        <w:jc w:val="right"/>
        <w:rPr>
          <w:rFonts w:cs="Arial"/>
          <w:rtl/>
          <w:lang w:bidi="he-IL"/>
        </w:rPr>
      </w:pPr>
    </w:p>
    <w:p w14:paraId="4E89F974" w14:textId="77777777" w:rsidR="008D40CC" w:rsidRPr="008D40CC" w:rsidRDefault="008D40CC" w:rsidP="008D40CC">
      <w:pPr>
        <w:jc w:val="right"/>
        <w:rPr>
          <w:rFonts w:cs="Arial"/>
          <w:u w:val="single"/>
        </w:rPr>
      </w:pPr>
      <w:r w:rsidRPr="008D40CC">
        <w:rPr>
          <w:rFonts w:cs="Arial"/>
          <w:u w:val="single"/>
          <w:rtl/>
          <w:lang w:bidi="he-IL"/>
        </w:rPr>
        <w:t>שער המלך הלכות שופר וסוכה ולולב פרק ח הלכה א</w:t>
      </w:r>
    </w:p>
    <w:p w14:paraId="1F7CDCB6" w14:textId="2AA684FE" w:rsidR="007627B4" w:rsidRDefault="008D40CC" w:rsidP="008D40CC">
      <w:pPr>
        <w:jc w:val="right"/>
        <w:rPr>
          <w:rFonts w:cs="Arial"/>
          <w:rtl/>
          <w:lang w:bidi="he-IL"/>
        </w:rPr>
      </w:pPr>
      <w:r w:rsidRPr="008D40CC">
        <w:rPr>
          <w:rFonts w:cs="Arial"/>
          <w:rtl/>
          <w:lang w:bidi="he-IL"/>
        </w:rPr>
        <w:t xml:space="preserve">והנה מתוך דבריהם אלו משמע דס"ל דאף ביט"ב דרבנן אם נטל יצא משום דאמרי' מצות לאו ליהנות ניתנו אפי' במצות דרבנן וכן נראה שהוא דעת הרשב"א בתשו' סי' תשמ"ו שכתב דהמודר הנאה מחבירו ונתן לו לולב לצאת בו דיוצא בו בי"ט שני מטעמא דמצות לאו ליהנות נתנו ושלא כדעת הרז"ה שכתב בפרק ראוהו ב"ד גבי המודר הנאה מחבירו דמותר לתקוע לו תקיעה של מצוה דדוקא בתקיעות דר"ה שהוא מצוה מן התורה אבל בתעניות לא </w:t>
      </w:r>
      <w:r>
        <w:rPr>
          <w:rFonts w:cs="Arial" w:hint="cs"/>
          <w:rtl/>
          <w:lang w:bidi="he-IL"/>
        </w:rPr>
        <w:t>...</w:t>
      </w:r>
      <w:r w:rsidRPr="008D40CC">
        <w:rPr>
          <w:rFonts w:cs="Arial"/>
          <w:rtl/>
          <w:lang w:bidi="he-IL"/>
        </w:rPr>
        <w:t xml:space="preserve"> וכיון דאמרינן דהנאת המצוה לאו הנאה היא מה לי מצוה דרבנן מה לי מצוה דאורייתא ואדרבא במצוה דאוריי' הוה שייך טפי למימר דחשיבה ליה הנאה יותר שמקיים מצוה דאורייתא</w:t>
      </w:r>
      <w:r>
        <w:rPr>
          <w:rFonts w:cs="Arial" w:hint="cs"/>
          <w:rtl/>
          <w:lang w:bidi="he-IL"/>
        </w:rPr>
        <w:t>.</w:t>
      </w:r>
    </w:p>
    <w:p w14:paraId="32E2E1B1" w14:textId="77777777" w:rsidR="00934F0F" w:rsidRPr="00934F0F" w:rsidRDefault="00934F0F" w:rsidP="00934F0F">
      <w:pPr>
        <w:jc w:val="right"/>
        <w:rPr>
          <w:rFonts w:cs="Arial"/>
          <w:u w:val="single"/>
        </w:rPr>
      </w:pPr>
      <w:r w:rsidRPr="00934F0F">
        <w:rPr>
          <w:rFonts w:cs="Arial"/>
          <w:u w:val="single"/>
          <w:rtl/>
          <w:lang w:bidi="he-IL"/>
        </w:rPr>
        <w:t>שו"ת שואל ומשיב מהדורה חמישאה סימן מה</w:t>
      </w:r>
    </w:p>
    <w:p w14:paraId="5148D6D8" w14:textId="39411E4B" w:rsidR="00934F0F" w:rsidRDefault="00934F0F" w:rsidP="00457CBD">
      <w:pPr>
        <w:ind w:left="-90"/>
        <w:jc w:val="right"/>
        <w:rPr>
          <w:rFonts w:cs="Arial"/>
          <w:rtl/>
          <w:lang w:bidi="he-IL"/>
        </w:rPr>
      </w:pPr>
      <w:r w:rsidRPr="00934F0F">
        <w:rPr>
          <w:rFonts w:cs="Arial"/>
          <w:rtl/>
          <w:lang w:bidi="he-IL"/>
        </w:rPr>
        <w:t xml:space="preserve">ששאלת לבאר כוונת הרז"ה </w:t>
      </w:r>
      <w:r>
        <w:rPr>
          <w:rFonts w:cs="Arial" w:hint="cs"/>
          <w:rtl/>
          <w:lang w:bidi="he-IL"/>
        </w:rPr>
        <w:t xml:space="preserve">(בעל המאור) </w:t>
      </w:r>
      <w:r w:rsidRPr="00934F0F">
        <w:rPr>
          <w:rFonts w:cs="Arial"/>
          <w:rtl/>
          <w:lang w:bidi="he-IL"/>
        </w:rPr>
        <w:t>שכתב דהמודר הנאה משופר דמותר לתקוע תקיעה של מצוה דוקא בשופר של ר"ה שהוא מה"ת אבל בתקיעות של תעניות אמרינן מצות להנות נתנו ותמהת דמה טעם יש בדבר הנה בחידושי רבות אמרתי בזה וכעת נראה דבר חדש דהנה באמת ביאור ענין דמצות לאו להנות נתנו פירש"י דלעול ניתן ולא להנאה והדבר צ"ב דמ"מ אית ליה הנאה והנראה לי בזה דהנה בש"ע או"ח סי' ר"ד מבואר דאם אנסוהו לאכול אינו מברך דל</w:t>
      </w:r>
      <w:r>
        <w:rPr>
          <w:rFonts w:cs="Arial" w:hint="cs"/>
          <w:rtl/>
          <w:lang w:bidi="he-IL"/>
        </w:rPr>
        <w:t xml:space="preserve">א </w:t>
      </w:r>
      <w:r w:rsidRPr="00934F0F">
        <w:rPr>
          <w:rFonts w:cs="Arial"/>
          <w:rtl/>
          <w:lang w:bidi="he-IL"/>
        </w:rPr>
        <w:t>מ</w:t>
      </w:r>
      <w:r>
        <w:rPr>
          <w:rFonts w:cs="Arial" w:hint="cs"/>
          <w:rtl/>
          <w:lang w:bidi="he-IL"/>
        </w:rPr>
        <w:t>יחשב</w:t>
      </w:r>
      <w:r w:rsidRPr="00934F0F">
        <w:rPr>
          <w:rFonts w:cs="Arial"/>
          <w:rtl/>
          <w:lang w:bidi="he-IL"/>
        </w:rPr>
        <w:t xml:space="preserve"> הנאה כל שהוא באונס ולפ"ז נ"ל דבר ברור דמכ"ש במי שמחוייב לקיים מצוה דמקרי אונס ול</w:t>
      </w:r>
      <w:r>
        <w:rPr>
          <w:rFonts w:cs="Arial" w:hint="cs"/>
          <w:rtl/>
          <w:lang w:bidi="he-IL"/>
        </w:rPr>
        <w:t xml:space="preserve">א </w:t>
      </w:r>
      <w:r w:rsidRPr="00934F0F">
        <w:rPr>
          <w:rFonts w:cs="Arial"/>
          <w:rtl/>
          <w:lang w:bidi="he-IL"/>
        </w:rPr>
        <w:t>מ</w:t>
      </w:r>
      <w:r>
        <w:rPr>
          <w:rFonts w:cs="Arial" w:hint="cs"/>
          <w:rtl/>
          <w:lang w:bidi="he-IL"/>
        </w:rPr>
        <w:t>יחשב</w:t>
      </w:r>
      <w:r w:rsidRPr="00934F0F">
        <w:rPr>
          <w:rFonts w:cs="Arial"/>
          <w:rtl/>
          <w:lang w:bidi="he-IL"/>
        </w:rPr>
        <w:t xml:space="preserve"> הנאה וא"כ לא גרע מאילו היה שלא כדרך הנאתן דקיי"ל בכל התורה דשלכדה"נ אינו אסור מה"ת </w:t>
      </w:r>
      <w:r>
        <w:rPr>
          <w:rFonts w:cs="Arial" w:hint="cs"/>
          <w:rtl/>
          <w:lang w:bidi="he-IL"/>
        </w:rPr>
        <w:t>(</w:t>
      </w:r>
      <w:r w:rsidRPr="00934F0F">
        <w:rPr>
          <w:rFonts w:cs="Arial"/>
          <w:rtl/>
          <w:lang w:bidi="he-IL"/>
        </w:rPr>
        <w:t>ועיין מלמ"ל פ"ד מיסודי התורה שהאריך בזה</w:t>
      </w:r>
      <w:r>
        <w:rPr>
          <w:rFonts w:cs="Arial" w:hint="cs"/>
          <w:rtl/>
          <w:lang w:bidi="he-IL"/>
        </w:rPr>
        <w:t>)</w:t>
      </w:r>
      <w:r w:rsidRPr="00934F0F">
        <w:rPr>
          <w:rFonts w:cs="Arial"/>
          <w:rtl/>
          <w:lang w:bidi="he-IL"/>
        </w:rPr>
        <w:t xml:space="preserve"> ולפ"ז שפיר אמרו דמצות לאו להנות נתנו והיינו כיון שלעול ניתן ולא להנאה שוב מקרי </w:t>
      </w:r>
      <w:r>
        <w:rPr>
          <w:rFonts w:cs="Arial" w:hint="cs"/>
          <w:rtl/>
          <w:lang w:bidi="he-IL"/>
        </w:rPr>
        <w:t xml:space="preserve">שלא כדרך הנאתן </w:t>
      </w:r>
      <w:r w:rsidRPr="00934F0F">
        <w:rPr>
          <w:rFonts w:cs="Arial"/>
          <w:rtl/>
          <w:lang w:bidi="he-IL"/>
        </w:rPr>
        <w:t>וליכא איסור מה"ת רק מדרבנן ופשיטא דמצות התורה דוחה איסור דרבנן וז</w:t>
      </w:r>
      <w:r>
        <w:rPr>
          <w:rFonts w:cs="Arial" w:hint="cs"/>
          <w:rtl/>
          <w:lang w:bidi="he-IL"/>
        </w:rPr>
        <w:t xml:space="preserve">ה </w:t>
      </w:r>
      <w:r w:rsidRPr="00934F0F">
        <w:rPr>
          <w:rFonts w:cs="Arial"/>
          <w:rtl/>
          <w:lang w:bidi="he-IL"/>
        </w:rPr>
        <w:lastRenderedPageBreak/>
        <w:t>ב</w:t>
      </w:r>
      <w:r>
        <w:rPr>
          <w:rFonts w:cs="Arial" w:hint="cs"/>
          <w:rtl/>
          <w:lang w:bidi="he-IL"/>
        </w:rPr>
        <w:t>רור</w:t>
      </w:r>
      <w:r w:rsidRPr="00934F0F">
        <w:rPr>
          <w:rFonts w:cs="Arial"/>
          <w:rtl/>
          <w:lang w:bidi="he-IL"/>
        </w:rPr>
        <w:t xml:space="preserve"> לדעת ולפ"ז ה</w:t>
      </w:r>
      <w:r>
        <w:rPr>
          <w:rFonts w:cs="Arial" w:hint="cs"/>
          <w:rtl/>
          <w:lang w:bidi="he-IL"/>
        </w:rPr>
        <w:t xml:space="preserve">יינו </w:t>
      </w:r>
      <w:r w:rsidRPr="00934F0F">
        <w:rPr>
          <w:rFonts w:cs="Arial"/>
          <w:rtl/>
          <w:lang w:bidi="he-IL"/>
        </w:rPr>
        <w:t>ט</w:t>
      </w:r>
      <w:r>
        <w:rPr>
          <w:rFonts w:cs="Arial" w:hint="cs"/>
          <w:rtl/>
          <w:lang w:bidi="he-IL"/>
        </w:rPr>
        <w:t>עמא</w:t>
      </w:r>
      <w:r w:rsidRPr="00934F0F">
        <w:rPr>
          <w:rFonts w:cs="Arial"/>
          <w:rtl/>
          <w:lang w:bidi="he-IL"/>
        </w:rPr>
        <w:t xml:space="preserve"> דהרז"ה דזה דוקא במצות תורה אבל בתקיעות תעניו' דאינו רק מצוה דרבנן פשיטא דמצוה דרבנן אינו דוחה איסור דרבנן ושפיר אמרינן דלהנו' נתנו וז"ב מאד בטעמו </w:t>
      </w:r>
      <w:r>
        <w:rPr>
          <w:rFonts w:cs="Arial" w:hint="cs"/>
          <w:rtl/>
          <w:lang w:bidi="he-IL"/>
        </w:rPr>
        <w:t>...</w:t>
      </w:r>
      <w:r w:rsidRPr="00934F0F">
        <w:rPr>
          <w:rFonts w:cs="Arial"/>
          <w:rtl/>
          <w:lang w:bidi="he-IL"/>
        </w:rPr>
        <w:t xml:space="preserve"> איברא דלפמ"ש יקשה א"כ מאי אמר רבא גבי שופר של עולה דיצא דמצות לאו להנות נתנו והרי המ</w:t>
      </w:r>
      <w:r>
        <w:rPr>
          <w:rFonts w:cs="Arial" w:hint="cs"/>
          <w:rtl/>
          <w:lang w:bidi="he-IL"/>
        </w:rPr>
        <w:t>שנה למלך</w:t>
      </w:r>
      <w:r w:rsidRPr="00934F0F">
        <w:rPr>
          <w:rFonts w:cs="Arial"/>
          <w:rtl/>
          <w:lang w:bidi="he-IL"/>
        </w:rPr>
        <w:t xml:space="preserve"> נסתפק שם לענין מעילה בהקדש אם מעל אף בש</w:t>
      </w:r>
      <w:r>
        <w:rPr>
          <w:rFonts w:cs="Arial" w:hint="cs"/>
          <w:rtl/>
          <w:lang w:bidi="he-IL"/>
        </w:rPr>
        <w:t>לא כדרך אכילתו</w:t>
      </w:r>
      <w:r w:rsidRPr="00934F0F">
        <w:rPr>
          <w:rFonts w:cs="Arial"/>
          <w:rtl/>
          <w:lang w:bidi="he-IL"/>
        </w:rPr>
        <w:t xml:space="preserve"> ולפ"ז היאך שייך מצות לאו להנות נתנו והיא קושיא גדולה. ובאמת שי"ל שזה טעמו של ר</w:t>
      </w:r>
      <w:r>
        <w:rPr>
          <w:rFonts w:cs="Arial" w:hint="cs"/>
          <w:rtl/>
          <w:lang w:bidi="he-IL"/>
        </w:rPr>
        <w:t>' יהודה</w:t>
      </w:r>
      <w:r w:rsidRPr="00934F0F">
        <w:rPr>
          <w:rFonts w:cs="Arial"/>
          <w:rtl/>
          <w:lang w:bidi="he-IL"/>
        </w:rPr>
        <w:t xml:space="preserve"> דס"ל דלא יצא אף דמסתמ' יסבור מצות לאו להנות נתנו כדס"ל גבי המודר וע' בתוס' ורק דבמעילה שאני ואף די"ל דרבא לשיטתו דס"ל בפסחים דף כ"ו דגבי מעילה בעי כדרך הנאתו</w:t>
      </w:r>
      <w:r>
        <w:rPr>
          <w:rFonts w:cs="Arial" w:hint="cs"/>
          <w:rtl/>
          <w:lang w:bidi="he-IL"/>
        </w:rPr>
        <w:t>..</w:t>
      </w:r>
    </w:p>
    <w:p w14:paraId="54802CE5" w14:textId="77777777" w:rsidR="00457CBD" w:rsidRPr="00457CBD" w:rsidRDefault="00457CBD" w:rsidP="00457CBD">
      <w:pPr>
        <w:ind w:left="-90"/>
        <w:jc w:val="right"/>
        <w:rPr>
          <w:rFonts w:cs="Arial"/>
          <w:u w:val="single"/>
        </w:rPr>
      </w:pPr>
      <w:r w:rsidRPr="00457CBD">
        <w:rPr>
          <w:rFonts w:cs="Arial"/>
          <w:u w:val="single"/>
          <w:rtl/>
          <w:lang w:bidi="he-IL"/>
        </w:rPr>
        <w:t>טורי אבן מסכת ראש השנה דף כח עמוד א</w:t>
      </w:r>
    </w:p>
    <w:p w14:paraId="1233EF27" w14:textId="63ADDF0C" w:rsidR="00457CBD" w:rsidRDefault="00457CBD" w:rsidP="00457CBD">
      <w:pPr>
        <w:ind w:left="-90"/>
        <w:jc w:val="right"/>
        <w:rPr>
          <w:rFonts w:cs="Arial"/>
          <w:rtl/>
          <w:lang w:bidi="he-IL"/>
        </w:rPr>
      </w:pPr>
      <w:r w:rsidRPr="00457CBD">
        <w:rPr>
          <w:rFonts w:cs="Arial"/>
          <w:rtl/>
          <w:lang w:bidi="he-IL"/>
        </w:rPr>
        <w:t>מ"מ ק"ל על הרז"ה דמחלק לענין מצות לאו להנות נתנו בין מצות של תורה למצות דרבנן. והא תנן רפ"ג דעירובין (דף כו ע"ב) מערבין לכהן בבית הפרס ר"י אומר אפי' בבית הקברות ומפרש בגמרא (דף ל"א ע"א) דאע"ג דאסור לקנות בית באיסורי הנאה אפ"ה שרי ר"י משום דא"ר יוסף אין מערבין אלא לדבר מצוה ומצות לאו להנות נתנו. והא אפי' בשביל מצוה דרבנן נמי מערבין כדפריך שם רפ"ח (דף פ"ב) אמילתא דר"י מאי קמ"ל תנינא לכל מי שילך לבית האבל או לבית המשתה והא הני מצות דרבנן נינהו. וש"מ דבמצות דרבנן אמרי' נמי מצות לאו להנו' נתנו</w:t>
      </w:r>
      <w:r>
        <w:rPr>
          <w:rFonts w:cs="Arial" w:hint="cs"/>
          <w:rtl/>
          <w:lang w:bidi="he-IL"/>
        </w:rPr>
        <w:t>.</w:t>
      </w:r>
    </w:p>
    <w:p w14:paraId="1993270A" w14:textId="77777777" w:rsidR="00457CBD" w:rsidRPr="00457CBD" w:rsidRDefault="00457CBD" w:rsidP="00457CBD">
      <w:pPr>
        <w:ind w:left="-90"/>
        <w:jc w:val="right"/>
        <w:rPr>
          <w:rFonts w:cs="Arial"/>
          <w:u w:val="single"/>
        </w:rPr>
      </w:pPr>
      <w:r w:rsidRPr="00457CBD">
        <w:rPr>
          <w:rFonts w:cs="Arial"/>
          <w:u w:val="single"/>
          <w:rtl/>
          <w:lang w:bidi="he-IL"/>
        </w:rPr>
        <w:t>שער המלך הלכות שופר וסוכה ולולב פרק ח הלכה א</w:t>
      </w:r>
    </w:p>
    <w:p w14:paraId="2052A8AD" w14:textId="56FED6FF" w:rsidR="00457CBD" w:rsidRDefault="00457CBD" w:rsidP="00457CBD">
      <w:pPr>
        <w:ind w:left="-90"/>
        <w:jc w:val="right"/>
        <w:rPr>
          <w:rFonts w:cs="Arial"/>
          <w:rtl/>
          <w:lang w:bidi="he-IL"/>
        </w:rPr>
      </w:pPr>
      <w:r w:rsidRPr="00457CBD">
        <w:rPr>
          <w:rFonts w:cs="Arial"/>
          <w:rtl/>
          <w:lang w:bidi="he-IL"/>
        </w:rPr>
        <w:t xml:space="preserve">ויש לחלק </w:t>
      </w:r>
      <w:r w:rsidR="004D10DA">
        <w:rPr>
          <w:rFonts w:cs="Arial" w:hint="cs"/>
          <w:rtl/>
          <w:lang w:bidi="he-IL"/>
        </w:rPr>
        <w:t xml:space="preserve">... </w:t>
      </w:r>
      <w:r w:rsidRPr="00457CBD">
        <w:rPr>
          <w:rFonts w:cs="Arial"/>
          <w:rtl/>
          <w:lang w:bidi="he-IL"/>
        </w:rPr>
        <w:t>מה שא</w:t>
      </w:r>
      <w:r w:rsidR="004D10DA">
        <w:rPr>
          <w:rFonts w:cs="Arial" w:hint="cs"/>
          <w:rtl/>
          <w:lang w:bidi="he-IL"/>
        </w:rPr>
        <w:t xml:space="preserve">ין </w:t>
      </w:r>
      <w:r w:rsidRPr="00457CBD">
        <w:rPr>
          <w:rFonts w:cs="Arial"/>
          <w:rtl/>
          <w:lang w:bidi="he-IL"/>
        </w:rPr>
        <w:t>כ</w:t>
      </w:r>
      <w:r w:rsidR="004D10DA">
        <w:rPr>
          <w:rFonts w:cs="Arial" w:hint="cs"/>
          <w:rtl/>
          <w:lang w:bidi="he-IL"/>
        </w:rPr>
        <w:t>ן</w:t>
      </w:r>
      <w:r w:rsidRPr="00457CBD">
        <w:rPr>
          <w:rFonts w:cs="Arial"/>
          <w:rtl/>
          <w:lang w:bidi="he-IL"/>
        </w:rPr>
        <w:t xml:space="preserve"> ההיא דאין מערבין אלא לדבר מצוה דאע"ג דגופו נהנה מבית המשתה מ"מ אין גופו נהנה מבית הקברות דהיינו הדבר דאסור בהנאה אלא מבית המשתה והמשתה אינו אסור עליו בהנאה ואינו אלא גרמא בעלמא שגרם לו בית הקברות ליהנות גופו מדבר המותר עליו ובכי הא אמרינן שפיר מצות לאו ליהנות ניתנו ובזה ניחא לי מה שהקשה הרב שע</w:t>
      </w:r>
      <w:r w:rsidR="004D10DA">
        <w:rPr>
          <w:rFonts w:cs="Arial" w:hint="cs"/>
          <w:rtl/>
          <w:lang w:bidi="he-IL"/>
        </w:rPr>
        <w:t xml:space="preserve">ר </w:t>
      </w:r>
      <w:r w:rsidRPr="00457CBD">
        <w:rPr>
          <w:rFonts w:cs="Arial"/>
          <w:rtl/>
          <w:lang w:bidi="he-IL"/>
        </w:rPr>
        <w:t>א</w:t>
      </w:r>
      <w:r w:rsidR="004D10DA">
        <w:rPr>
          <w:rFonts w:cs="Arial" w:hint="cs"/>
          <w:rtl/>
          <w:lang w:bidi="he-IL"/>
        </w:rPr>
        <w:t>פרים</w:t>
      </w:r>
      <w:r w:rsidRPr="00457CBD">
        <w:rPr>
          <w:rFonts w:cs="Arial"/>
          <w:rtl/>
          <w:lang w:bidi="he-IL"/>
        </w:rPr>
        <w:t xml:space="preserve"> לדעת הרז"ה דס"ל דבמצות דרבנן אמרינן מצות ליהנות ניתנו מהך דפרק בכל מערבין דאע"ג דללכת אל בית האבל ולבית המשתה אינו אלא מצוה דרבנן אפי"ה אמרינן מצות לאו ליהנות ניתנו אכן כפי מ"ש יש ליישב ע"כ לא כתב הרז"ה ז"ל אלא דוקא במודר הנאה משופר שגופו נהנה משופר עצמו שאסור עליו בהנאה וכמ"ש לעיל מה שאין כן הכא כן נראה לי נכון</w:t>
      </w:r>
      <w:r w:rsidR="004D10DA">
        <w:rPr>
          <w:rFonts w:cs="Arial" w:hint="cs"/>
          <w:rtl/>
          <w:lang w:bidi="he-IL"/>
        </w:rPr>
        <w:t>.</w:t>
      </w:r>
    </w:p>
    <w:p w14:paraId="22B733DE" w14:textId="77777777" w:rsidR="004D10DA" w:rsidRPr="004D10DA" w:rsidRDefault="004D10DA" w:rsidP="004D10DA">
      <w:pPr>
        <w:ind w:left="-90"/>
        <w:jc w:val="right"/>
        <w:rPr>
          <w:rFonts w:cs="Arial"/>
          <w:u w:val="single"/>
        </w:rPr>
      </w:pPr>
      <w:r w:rsidRPr="004D10DA">
        <w:rPr>
          <w:rFonts w:cs="Arial"/>
          <w:u w:val="single"/>
          <w:rtl/>
          <w:lang w:bidi="he-IL"/>
        </w:rPr>
        <w:t>שו"ת שואל ומשיב מהדורה חמישאה סימן מה</w:t>
      </w:r>
    </w:p>
    <w:p w14:paraId="5A65D215" w14:textId="221F01AA" w:rsidR="004D10DA" w:rsidRDefault="004D10DA" w:rsidP="004D10DA">
      <w:pPr>
        <w:ind w:left="-90"/>
        <w:jc w:val="right"/>
        <w:rPr>
          <w:rFonts w:cs="Arial"/>
          <w:lang w:bidi="he-IL"/>
        </w:rPr>
      </w:pPr>
      <w:r w:rsidRPr="004D10DA">
        <w:rPr>
          <w:rFonts w:cs="Arial"/>
          <w:rtl/>
          <w:lang w:bidi="he-IL"/>
        </w:rPr>
        <w:t>ובזה מיושב מה שהקשה השער אפרים סי' ל"ח מעירובין ל"א דמוקי לה בב</w:t>
      </w:r>
      <w:r>
        <w:rPr>
          <w:rFonts w:cs="Arial" w:hint="cs"/>
          <w:rtl/>
          <w:lang w:bidi="he-IL"/>
        </w:rPr>
        <w:t>ית הקברות</w:t>
      </w:r>
      <w:r w:rsidRPr="004D10DA">
        <w:rPr>
          <w:rFonts w:cs="Arial"/>
          <w:rtl/>
          <w:lang w:bidi="he-IL"/>
        </w:rPr>
        <w:t xml:space="preserve"> וס"ל מצות לאו להנות נתנו והא עירוב אינו רק דרבנן ולפמ"ש א</w:t>
      </w:r>
      <w:r>
        <w:rPr>
          <w:rFonts w:cs="Arial" w:hint="cs"/>
          <w:rtl/>
          <w:lang w:bidi="he-IL"/>
        </w:rPr>
        <w:t xml:space="preserve">תי </w:t>
      </w:r>
      <w:r w:rsidRPr="004D10DA">
        <w:rPr>
          <w:rFonts w:cs="Arial"/>
          <w:rtl/>
          <w:lang w:bidi="he-IL"/>
        </w:rPr>
        <w:t>ש</w:t>
      </w:r>
      <w:r>
        <w:rPr>
          <w:rFonts w:cs="Arial" w:hint="cs"/>
          <w:rtl/>
          <w:lang w:bidi="he-IL"/>
        </w:rPr>
        <w:t>פיר</w:t>
      </w:r>
      <w:r w:rsidRPr="004D10DA">
        <w:rPr>
          <w:rFonts w:cs="Arial"/>
          <w:rtl/>
          <w:lang w:bidi="he-IL"/>
        </w:rPr>
        <w:t xml:space="preserve"> </w:t>
      </w:r>
      <w:r>
        <w:rPr>
          <w:rFonts w:cs="Arial" w:hint="cs"/>
          <w:rtl/>
          <w:lang w:bidi="he-IL"/>
        </w:rPr>
        <w:t>ד</w:t>
      </w:r>
      <w:r w:rsidRPr="004D10DA">
        <w:rPr>
          <w:rFonts w:cs="Arial"/>
          <w:rtl/>
          <w:lang w:bidi="he-IL"/>
        </w:rPr>
        <w:t>בב</w:t>
      </w:r>
      <w:r>
        <w:rPr>
          <w:rFonts w:cs="Arial" w:hint="cs"/>
          <w:rtl/>
          <w:lang w:bidi="he-IL"/>
        </w:rPr>
        <w:t>ית הקברות</w:t>
      </w:r>
      <w:r w:rsidRPr="004D10DA">
        <w:rPr>
          <w:rFonts w:cs="Arial"/>
          <w:rtl/>
          <w:lang w:bidi="he-IL"/>
        </w:rPr>
        <w:t xml:space="preserve"> דלא נאסר רק בהנאה וכל שהוא של</w:t>
      </w:r>
      <w:r>
        <w:rPr>
          <w:rFonts w:cs="Arial" w:hint="cs"/>
          <w:rtl/>
          <w:lang w:bidi="he-IL"/>
        </w:rPr>
        <w:t>א כדרך הנאה</w:t>
      </w:r>
      <w:r w:rsidRPr="004D10DA">
        <w:rPr>
          <w:rFonts w:cs="Arial"/>
          <w:rtl/>
          <w:lang w:bidi="he-IL"/>
        </w:rPr>
        <w:t xml:space="preserve"> לא נאסר אף מדרבנן דבשלמא באיסורין אמרינן שמדרבנן נאסר אף שלא כ</w:t>
      </w:r>
      <w:r>
        <w:rPr>
          <w:rFonts w:cs="Arial" w:hint="cs"/>
          <w:rtl/>
          <w:lang w:bidi="he-IL"/>
        </w:rPr>
        <w:t>לא כדרך</w:t>
      </w:r>
      <w:r w:rsidRPr="004D10DA">
        <w:rPr>
          <w:rFonts w:cs="Arial"/>
          <w:rtl/>
          <w:lang w:bidi="he-IL"/>
        </w:rPr>
        <w:t xml:space="preserve"> אבל במת דאינו אסור רק להנות וכל שלא כד</w:t>
      </w:r>
      <w:r>
        <w:rPr>
          <w:rFonts w:cs="Arial" w:hint="cs"/>
          <w:rtl/>
          <w:lang w:bidi="he-IL"/>
        </w:rPr>
        <w:t xml:space="preserve">רך </w:t>
      </w:r>
      <w:r w:rsidRPr="004D10DA">
        <w:rPr>
          <w:rFonts w:cs="Arial"/>
          <w:rtl/>
          <w:lang w:bidi="he-IL"/>
        </w:rPr>
        <w:t>ה</w:t>
      </w:r>
      <w:r>
        <w:rPr>
          <w:rFonts w:cs="Arial" w:hint="cs"/>
          <w:rtl/>
          <w:lang w:bidi="he-IL"/>
        </w:rPr>
        <w:t>נאה</w:t>
      </w:r>
      <w:r w:rsidRPr="004D10DA">
        <w:rPr>
          <w:rFonts w:cs="Arial"/>
          <w:rtl/>
          <w:lang w:bidi="he-IL"/>
        </w:rPr>
        <w:t xml:space="preserve"> ליכא איסור ושפיר מותר ודו"ק</w:t>
      </w:r>
      <w:r>
        <w:rPr>
          <w:rFonts w:cs="Arial" w:hint="cs"/>
          <w:rtl/>
          <w:lang w:bidi="he-IL"/>
        </w:rPr>
        <w:t>.</w:t>
      </w:r>
    </w:p>
    <w:p w14:paraId="13A50435" w14:textId="77777777" w:rsidR="00913B0A" w:rsidRPr="00DD6D3F" w:rsidRDefault="00913B0A" w:rsidP="00913B0A">
      <w:pPr>
        <w:ind w:left="-360"/>
        <w:jc w:val="right"/>
        <w:rPr>
          <w:rFonts w:cs="Arial"/>
          <w:sz w:val="20"/>
          <w:szCs w:val="20"/>
          <w:u w:val="single"/>
        </w:rPr>
      </w:pPr>
      <w:r w:rsidRPr="00DD6D3F">
        <w:rPr>
          <w:rFonts w:cs="Arial"/>
          <w:sz w:val="20"/>
          <w:szCs w:val="20"/>
          <w:u w:val="single"/>
          <w:rtl/>
          <w:lang w:bidi="he-IL"/>
        </w:rPr>
        <w:t>חידושי הריטב"א מסכת סוכה דף לא עמוד ב</w:t>
      </w:r>
    </w:p>
    <w:p w14:paraId="3C9F27B7" w14:textId="77777777" w:rsidR="00913B0A" w:rsidRDefault="00913B0A" w:rsidP="00913B0A">
      <w:pPr>
        <w:ind w:left="-360"/>
        <w:jc w:val="right"/>
        <w:rPr>
          <w:rFonts w:cs="Arial"/>
          <w:sz w:val="20"/>
          <w:szCs w:val="20"/>
          <w:rtl/>
          <w:lang w:bidi="he-IL"/>
        </w:rPr>
      </w:pPr>
      <w:r w:rsidRPr="00DD6D3F">
        <w:rPr>
          <w:rFonts w:cs="Arial"/>
          <w:sz w:val="20"/>
          <w:szCs w:val="20"/>
          <w:rtl/>
          <w:lang w:bidi="he-IL"/>
        </w:rPr>
        <w:t>והאמר רבא לולב של ע"ז לא יטול ואם נטל כשר, פי' ואפילו קודם ביטול דאלו לאחר ביטול אפילו לכתחילה נמי כיון דשרי להדיוט לא מאיס למצוה, ואף על גב דר"ל מבעיא ליה התם במסכת ע"ז (מ"ז א'), רבא פשיטא ליה כדברירנא התם והלכתא כותיה, והכא קודם ביטול היא וטעמא דיצא משום דמצות לאו ליהנות ניתנו כדאיתא בכמה דוכתי לרבא, ואף על גב דמתהני בעשיית מצות שמקבל שכר בעולם הזה ובעולם הבא, לא חשיב איסור באיסורי הנאה אלא כשנהנה בגופו של איסור אבל כל שאין ההנאה מגופו אלא שגורם לו הנאה וריוח ממקום אחר אינו הנאה מן האיסור, וכדרך שאמרו (ר"ה כ"ח א') בנודר הנאה ממעין שטובל בו בימות הגשמים שאינו נהנה בגוף המים ואף על פי שגורמת לו טבילה זו לעלות מטומאה לטהרה ומכשירתו לכמה דברים לית לן בה, וכן</w:t>
      </w:r>
      <w:r w:rsidRPr="002B62AD">
        <w:rPr>
          <w:rFonts w:cs="Arial"/>
          <w:sz w:val="20"/>
          <w:szCs w:val="20"/>
          <w:rtl/>
          <w:lang w:bidi="he-IL"/>
        </w:rPr>
        <w:t xml:space="preserve"> הא דאמר רבא התם בסנדל של ע"ז לא תחלוץ ואם חלצה חליצתה כשרה דמצות לאו ליהנות ניתנו, ואף על גב דמרווחא טובא בההיא חליצה לא חשיבא הנאה באיסור, והא ברירנא לה בדוכתא אחרינא</w:t>
      </w:r>
      <w:r>
        <w:rPr>
          <w:rFonts w:cs="Arial" w:hint="cs"/>
          <w:sz w:val="20"/>
          <w:szCs w:val="20"/>
          <w:rtl/>
          <w:lang w:bidi="he-IL"/>
        </w:rPr>
        <w:t>.</w:t>
      </w:r>
    </w:p>
    <w:p w14:paraId="1A8FA476" w14:textId="77777777" w:rsidR="00913B0A" w:rsidRPr="005448C1" w:rsidRDefault="00913B0A" w:rsidP="004D10DA">
      <w:pPr>
        <w:ind w:left="-90"/>
        <w:jc w:val="right"/>
        <w:rPr>
          <w:rFonts w:cs="Arial" w:hint="cs"/>
          <w:rtl/>
          <w:lang w:bidi="he-IL"/>
        </w:rPr>
      </w:pPr>
    </w:p>
    <w:p w14:paraId="04C98271" w14:textId="77777777" w:rsidR="008530F9" w:rsidRDefault="003E5F30">
      <w:pPr>
        <w:rPr>
          <w:lang w:bidi="he-IL"/>
        </w:rPr>
      </w:pPr>
    </w:p>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3F60" w14:textId="77777777" w:rsidR="003E5F30" w:rsidRDefault="003E5F30" w:rsidP="005448C1">
      <w:pPr>
        <w:spacing w:after="0" w:line="240" w:lineRule="auto"/>
      </w:pPr>
      <w:r>
        <w:separator/>
      </w:r>
    </w:p>
  </w:endnote>
  <w:endnote w:type="continuationSeparator" w:id="0">
    <w:p w14:paraId="74B842E7" w14:textId="77777777" w:rsidR="003E5F30" w:rsidRDefault="003E5F30" w:rsidP="0054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55010" w14:textId="77777777" w:rsidR="003E5F30" w:rsidRDefault="003E5F30" w:rsidP="005448C1">
      <w:pPr>
        <w:spacing w:after="0" w:line="240" w:lineRule="auto"/>
      </w:pPr>
      <w:r>
        <w:separator/>
      </w:r>
    </w:p>
  </w:footnote>
  <w:footnote w:type="continuationSeparator" w:id="0">
    <w:p w14:paraId="4469CB8B" w14:textId="77777777" w:rsidR="003E5F30" w:rsidRDefault="003E5F30" w:rsidP="005448C1">
      <w:pPr>
        <w:spacing w:after="0" w:line="240" w:lineRule="auto"/>
      </w:pPr>
      <w:r>
        <w:continuationSeparator/>
      </w:r>
    </w:p>
  </w:footnote>
  <w:footnote w:id="1">
    <w:p w14:paraId="36E4CB5C" w14:textId="0D57AF94" w:rsidR="00913B0A" w:rsidRPr="00913B0A" w:rsidRDefault="00913B0A">
      <w:pPr>
        <w:pStyle w:val="FootnoteText"/>
        <w:rPr>
          <w:sz w:val="16"/>
          <w:szCs w:val="16"/>
          <w:lang w:bidi="he-IL"/>
        </w:rPr>
      </w:pPr>
      <w:r w:rsidRPr="00913B0A">
        <w:rPr>
          <w:rStyle w:val="FootnoteReference"/>
          <w:sz w:val="16"/>
          <w:szCs w:val="16"/>
        </w:rPr>
        <w:footnoteRef/>
      </w:r>
      <w:r w:rsidRPr="00913B0A">
        <w:rPr>
          <w:sz w:val="16"/>
          <w:szCs w:val="16"/>
        </w:rPr>
        <w:t xml:space="preserve"> This refers to the issue of whether the </w:t>
      </w:r>
      <w:r w:rsidRPr="00913B0A">
        <w:rPr>
          <w:rFonts w:hint="cs"/>
          <w:sz w:val="16"/>
          <w:szCs w:val="16"/>
          <w:rtl/>
          <w:lang w:bidi="he-IL"/>
        </w:rPr>
        <w:t>היתר</w:t>
      </w:r>
      <w:r w:rsidRPr="00913B0A">
        <w:rPr>
          <w:sz w:val="16"/>
          <w:szCs w:val="16"/>
          <w:lang w:bidi="he-IL"/>
        </w:rPr>
        <w:t xml:space="preserve"> of </w:t>
      </w:r>
      <w:r w:rsidRPr="00913B0A">
        <w:rPr>
          <w:rFonts w:hint="cs"/>
          <w:sz w:val="16"/>
          <w:szCs w:val="16"/>
          <w:rtl/>
          <w:lang w:bidi="he-IL"/>
        </w:rPr>
        <w:t>מצות לאו ליהנות נתנו</w:t>
      </w:r>
      <w:r w:rsidRPr="00913B0A">
        <w:rPr>
          <w:sz w:val="16"/>
          <w:szCs w:val="16"/>
          <w:lang w:bidi="he-IL"/>
        </w:rPr>
        <w:t xml:space="preserve"> includes</w:t>
      </w:r>
      <w:r>
        <w:rPr>
          <w:sz w:val="16"/>
          <w:szCs w:val="16"/>
          <w:lang w:bidi="he-IL"/>
        </w:rPr>
        <w:t xml:space="preserve"> </w:t>
      </w:r>
      <w:r>
        <w:rPr>
          <w:rFonts w:hint="cs"/>
          <w:sz w:val="16"/>
          <w:szCs w:val="16"/>
          <w:rtl/>
          <w:lang w:bidi="he-IL"/>
        </w:rPr>
        <w:t>הנאת הגוף</w:t>
      </w:r>
      <w:r>
        <w:rPr>
          <w:sz w:val="16"/>
          <w:szCs w:val="16"/>
          <w:lang w:bidi="he-IL"/>
        </w:rPr>
        <w:t xml:space="preserve"> received by the person while performing the mitzvah or whether the </w:t>
      </w:r>
      <w:r>
        <w:rPr>
          <w:rFonts w:hint="cs"/>
          <w:sz w:val="16"/>
          <w:szCs w:val="16"/>
          <w:rtl/>
          <w:lang w:bidi="he-IL"/>
        </w:rPr>
        <w:t>היתר</w:t>
      </w:r>
      <w:r>
        <w:rPr>
          <w:sz w:val="16"/>
          <w:szCs w:val="16"/>
          <w:lang w:bidi="he-IL"/>
        </w:rPr>
        <w:t xml:space="preserve"> is limited to the </w:t>
      </w:r>
      <w:r>
        <w:rPr>
          <w:rFonts w:hint="cs"/>
          <w:sz w:val="16"/>
          <w:szCs w:val="16"/>
          <w:rtl/>
          <w:lang w:bidi="he-IL"/>
        </w:rPr>
        <w:t>הנאת קיום המצוה</w:t>
      </w:r>
      <w:r>
        <w:rPr>
          <w:sz w:val="16"/>
          <w:szCs w:val="16"/>
          <w:lang w:bidi="he-IL"/>
        </w:rPr>
        <w:t xml:space="preserve">.  Think about how this issue will be addressed by the different approaches to </w:t>
      </w:r>
      <w:r w:rsidRPr="00913B0A">
        <w:rPr>
          <w:rFonts w:hint="cs"/>
          <w:sz w:val="16"/>
          <w:szCs w:val="16"/>
          <w:rtl/>
          <w:lang w:bidi="he-IL"/>
        </w:rPr>
        <w:t>מצות לאו ליהנות נתנו</w:t>
      </w:r>
      <w:r>
        <w:rPr>
          <w:sz w:val="16"/>
          <w:szCs w:val="16"/>
          <w:lang w:bidi="he-I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C1"/>
    <w:rsid w:val="003E5F30"/>
    <w:rsid w:val="00457CBD"/>
    <w:rsid w:val="004D10DA"/>
    <w:rsid w:val="005448C1"/>
    <w:rsid w:val="007627B4"/>
    <w:rsid w:val="008A1AE2"/>
    <w:rsid w:val="008D14FB"/>
    <w:rsid w:val="008D40CC"/>
    <w:rsid w:val="00913B0A"/>
    <w:rsid w:val="00934F0F"/>
    <w:rsid w:val="00A46F84"/>
    <w:rsid w:val="00C529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1CFB"/>
  <w15:chartTrackingRefBased/>
  <w15:docId w15:val="{F32C08E7-7201-4E1F-9878-69D71EF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4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8C1"/>
    <w:rPr>
      <w:sz w:val="20"/>
      <w:szCs w:val="20"/>
    </w:rPr>
  </w:style>
  <w:style w:type="character" w:styleId="FootnoteReference">
    <w:name w:val="footnote reference"/>
    <w:basedOn w:val="DefaultParagraphFont"/>
    <w:uiPriority w:val="99"/>
    <w:semiHidden/>
    <w:unhideWhenUsed/>
    <w:rsid w:val="005448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2021-07-25T01:48:00Z</dcterms:created>
  <dcterms:modified xsi:type="dcterms:W3CDTF">2021-07-25T02:51:00Z</dcterms:modified>
</cp:coreProperties>
</file>