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8FD4A" w14:textId="77777777" w:rsidR="00194B70" w:rsidRPr="0010470B" w:rsidRDefault="00194B70" w:rsidP="00194B70">
      <w:pPr>
        <w:jc w:val="right"/>
        <w:rPr>
          <w:rtl/>
          <w:lang w:bidi="he-IL"/>
        </w:rPr>
      </w:pPr>
      <w:r w:rsidRPr="0010470B">
        <w:rPr>
          <w:rFonts w:hint="cs"/>
          <w:rtl/>
          <w:lang w:bidi="he-IL"/>
        </w:rPr>
        <w:t>הרב שמואל דוב ווייס</w:t>
      </w:r>
    </w:p>
    <w:p w14:paraId="28C9E915" w14:textId="5E73E80F" w:rsidR="00194B70" w:rsidRPr="0010470B" w:rsidRDefault="00194B70" w:rsidP="00194B70">
      <w:pPr>
        <w:jc w:val="center"/>
        <w:rPr>
          <w:rtl/>
          <w:lang w:bidi="he-IL"/>
        </w:rPr>
      </w:pPr>
      <w:r w:rsidRPr="0010470B">
        <w:rPr>
          <w:rFonts w:hint="cs"/>
          <w:b/>
          <w:bCs/>
          <w:sz w:val="30"/>
          <w:szCs w:val="30"/>
          <w:u w:val="single"/>
          <w:rtl/>
          <w:lang w:bidi="he-IL"/>
        </w:rPr>
        <w:t>מצות שופר</w:t>
      </w:r>
      <w:r w:rsidRPr="0010470B">
        <w:rPr>
          <w:rFonts w:hint="cs"/>
          <w:rtl/>
          <w:lang w:bidi="he-IL"/>
        </w:rPr>
        <w:t xml:space="preserve"> (#</w:t>
      </w:r>
      <w:r>
        <w:rPr>
          <w:rFonts w:hint="cs"/>
          <w:rtl/>
          <w:lang w:bidi="he-IL"/>
        </w:rPr>
        <w:t>6</w:t>
      </w:r>
      <w:r w:rsidRPr="0010470B">
        <w:rPr>
          <w:rFonts w:hint="cs"/>
          <w:rtl/>
          <w:lang w:bidi="he-IL"/>
        </w:rPr>
        <w:t>)</w:t>
      </w:r>
    </w:p>
    <w:p w14:paraId="64FFA55D" w14:textId="7554BFB2" w:rsidR="00194B70" w:rsidRDefault="00194B70" w:rsidP="00194B70">
      <w:pPr>
        <w:jc w:val="right"/>
        <w:rPr>
          <w:u w:val="single"/>
          <w:rtl/>
          <w:lang w:bidi="he-IL"/>
        </w:rPr>
      </w:pPr>
      <w:r>
        <w:rPr>
          <w:rFonts w:hint="cs"/>
          <w:u w:val="single"/>
          <w:rtl/>
          <w:lang w:bidi="he-IL"/>
        </w:rPr>
        <w:t>אין קטיגור נעשה סניגור</w:t>
      </w:r>
      <w:r w:rsidRPr="00266DC6">
        <w:rPr>
          <w:rStyle w:val="FootnoteReference"/>
          <w:rtl/>
          <w:lang w:bidi="he-IL"/>
        </w:rPr>
        <w:footnoteReference w:id="1"/>
      </w:r>
    </w:p>
    <w:p w14:paraId="4F4B1124" w14:textId="296DCC5A" w:rsidR="004315CE" w:rsidRDefault="004315CE" w:rsidP="00194B70">
      <w:pPr>
        <w:jc w:val="right"/>
        <w:rPr>
          <w:rtl/>
          <w:lang w:bidi="he-IL"/>
        </w:rPr>
      </w:pPr>
      <w:r w:rsidRPr="004315CE">
        <w:rPr>
          <w:rFonts w:hint="cs"/>
          <w:b/>
          <w:bCs/>
          <w:rtl/>
          <w:lang w:bidi="he-IL"/>
        </w:rPr>
        <w:t>ויקרא</w:t>
      </w:r>
      <w:r>
        <w:rPr>
          <w:rFonts w:hint="cs"/>
          <w:rtl/>
          <w:lang w:bidi="he-IL"/>
        </w:rPr>
        <w:t xml:space="preserve"> ט':ב', </w:t>
      </w:r>
      <w:r>
        <w:rPr>
          <w:rFonts w:hint="cs"/>
          <w:b/>
          <w:bCs/>
          <w:rtl/>
          <w:lang w:bidi="he-IL"/>
        </w:rPr>
        <w:t>רש"י</w:t>
      </w:r>
      <w:r>
        <w:rPr>
          <w:rFonts w:hint="cs"/>
          <w:rtl/>
          <w:lang w:bidi="he-IL"/>
        </w:rPr>
        <w:t xml:space="preserve"> שם </w:t>
      </w:r>
    </w:p>
    <w:p w14:paraId="7445698A" w14:textId="7F98F9F7" w:rsidR="004315CE" w:rsidRDefault="004315CE" w:rsidP="00194B70">
      <w:pPr>
        <w:jc w:val="right"/>
        <w:rPr>
          <w:rtl/>
          <w:lang w:bidi="he-IL"/>
        </w:rPr>
      </w:pPr>
      <w:r w:rsidRPr="004315CE">
        <w:rPr>
          <w:rFonts w:hint="cs"/>
          <w:b/>
          <w:bCs/>
          <w:rtl/>
          <w:lang w:bidi="he-IL"/>
        </w:rPr>
        <w:t>מזרחי</w:t>
      </w:r>
      <w:r>
        <w:rPr>
          <w:rFonts w:hint="cs"/>
          <w:rtl/>
          <w:lang w:bidi="he-IL"/>
        </w:rPr>
        <w:t xml:space="preserve"> שם*, </w:t>
      </w:r>
      <w:r w:rsidRPr="004315CE">
        <w:rPr>
          <w:rFonts w:hint="cs"/>
          <w:b/>
          <w:bCs/>
          <w:rtl/>
          <w:lang w:bidi="he-IL"/>
        </w:rPr>
        <w:t>גור אריה</w:t>
      </w:r>
      <w:r>
        <w:rPr>
          <w:rFonts w:hint="cs"/>
          <w:b/>
          <w:bCs/>
          <w:rtl/>
          <w:lang w:bidi="he-IL"/>
        </w:rPr>
        <w:t xml:space="preserve"> </w:t>
      </w:r>
      <w:r w:rsidRPr="004315CE">
        <w:rPr>
          <w:rFonts w:hint="cs"/>
          <w:rtl/>
          <w:lang w:bidi="he-IL"/>
        </w:rPr>
        <w:t>שם</w:t>
      </w:r>
      <w:r>
        <w:rPr>
          <w:rFonts w:hint="cs"/>
          <w:rtl/>
          <w:lang w:bidi="he-IL"/>
        </w:rPr>
        <w:t>*</w:t>
      </w:r>
    </w:p>
    <w:p w14:paraId="2ABA8440" w14:textId="38C15F82" w:rsidR="004315CE" w:rsidRDefault="004315CE" w:rsidP="00194B70">
      <w:pPr>
        <w:jc w:val="right"/>
        <w:rPr>
          <w:rFonts w:cs="Arial"/>
          <w:rtl/>
          <w:lang w:bidi="he-IL"/>
        </w:rPr>
      </w:pPr>
      <w:r w:rsidRPr="004315CE">
        <w:rPr>
          <w:rFonts w:hint="cs"/>
          <w:b/>
          <w:bCs/>
          <w:rtl/>
          <w:lang w:bidi="he-IL"/>
        </w:rPr>
        <w:t>ערוך לנר</w:t>
      </w:r>
      <w:r>
        <w:rPr>
          <w:rFonts w:hint="cs"/>
          <w:b/>
          <w:bCs/>
          <w:rtl/>
          <w:lang w:bidi="he-IL"/>
        </w:rPr>
        <w:t xml:space="preserve"> </w:t>
      </w:r>
      <w:r w:rsidRPr="004315CE">
        <w:rPr>
          <w:rFonts w:hint="cs"/>
          <w:rtl/>
          <w:lang w:bidi="he-IL"/>
        </w:rPr>
        <w:t>כו.</w:t>
      </w:r>
      <w:r>
        <w:rPr>
          <w:rFonts w:hint="cs"/>
          <w:rtl/>
          <w:lang w:bidi="he-IL"/>
        </w:rPr>
        <w:t xml:space="preserve"> (ד"ה </w:t>
      </w:r>
      <w:r w:rsidRPr="004315CE">
        <w:rPr>
          <w:rFonts w:cs="Arial"/>
          <w:rtl/>
          <w:lang w:bidi="he-IL"/>
        </w:rPr>
        <w:t>בגמרא נעשה סניגור</w:t>
      </w:r>
      <w:r>
        <w:rPr>
          <w:rFonts w:cs="Arial" w:hint="cs"/>
          <w:rtl/>
          <w:lang w:bidi="he-IL"/>
        </w:rPr>
        <w:t>)*</w:t>
      </w:r>
    </w:p>
    <w:p w14:paraId="6D79D045" w14:textId="2C42C660" w:rsidR="004315CE" w:rsidRDefault="0094061D" w:rsidP="00194B70">
      <w:pPr>
        <w:jc w:val="right"/>
        <w:rPr>
          <w:rFonts w:cs="Arial"/>
          <w:u w:val="single"/>
          <w:rtl/>
          <w:lang w:bidi="he-IL"/>
        </w:rPr>
      </w:pPr>
      <w:r>
        <w:rPr>
          <w:rFonts w:cs="Arial" w:hint="cs"/>
          <w:u w:val="single"/>
          <w:rtl/>
          <w:lang w:bidi="he-IL"/>
        </w:rPr>
        <w:t>צורת</w:t>
      </w:r>
      <w:r w:rsidR="004315CE">
        <w:rPr>
          <w:rFonts w:cs="Arial" w:hint="cs"/>
          <w:u w:val="single"/>
          <w:rtl/>
          <w:lang w:bidi="he-IL"/>
        </w:rPr>
        <w:t xml:space="preserve"> </w:t>
      </w:r>
      <w:r>
        <w:rPr>
          <w:rFonts w:cs="Arial" w:hint="cs"/>
          <w:u w:val="single"/>
          <w:rtl/>
          <w:lang w:bidi="he-IL"/>
        </w:rPr>
        <w:t>ה</w:t>
      </w:r>
      <w:r w:rsidR="004315CE">
        <w:rPr>
          <w:rFonts w:cs="Arial" w:hint="cs"/>
          <w:u w:val="single"/>
          <w:rtl/>
          <w:lang w:bidi="he-IL"/>
        </w:rPr>
        <w:t>שופר</w:t>
      </w:r>
    </w:p>
    <w:p w14:paraId="1584A44D" w14:textId="77777777" w:rsidR="006B7B62" w:rsidRDefault="00787302" w:rsidP="00787302">
      <w:pPr>
        <w:jc w:val="right"/>
        <w:rPr>
          <w:rFonts w:cs="Arial"/>
          <w:rtl/>
          <w:lang w:bidi="he-IL"/>
        </w:rPr>
      </w:pPr>
      <w:r>
        <w:rPr>
          <w:rFonts w:cs="Arial" w:hint="cs"/>
          <w:b/>
          <w:bCs/>
          <w:rtl/>
          <w:lang w:bidi="he-IL"/>
        </w:rPr>
        <w:t xml:space="preserve">משנה </w:t>
      </w:r>
      <w:r w:rsidRPr="00484CEC">
        <w:rPr>
          <w:rFonts w:cs="Arial" w:hint="cs"/>
          <w:rtl/>
          <w:lang w:bidi="he-IL"/>
        </w:rPr>
        <w:t>כו.</w:t>
      </w:r>
    </w:p>
    <w:p w14:paraId="66CF1CD7" w14:textId="768750D5" w:rsidR="004315CE" w:rsidRDefault="00787302" w:rsidP="00787302">
      <w:pPr>
        <w:jc w:val="right"/>
        <w:rPr>
          <w:rFonts w:cs="Arial"/>
          <w:rtl/>
          <w:lang w:bidi="he-IL"/>
        </w:rPr>
      </w:pPr>
      <w:r w:rsidRPr="00787302">
        <w:rPr>
          <w:rFonts w:cs="Arial" w:hint="cs"/>
          <w:b/>
          <w:bCs/>
          <w:rtl/>
          <w:lang w:bidi="he-IL"/>
        </w:rPr>
        <w:t>משנה</w:t>
      </w:r>
      <w:r w:rsidRPr="00787302">
        <w:rPr>
          <w:rFonts w:cs="Arial" w:hint="cs"/>
          <w:rtl/>
          <w:lang w:bidi="he-IL"/>
        </w:rPr>
        <w:t xml:space="preserve"> כו:, </w:t>
      </w:r>
      <w:r w:rsidRPr="00787302">
        <w:rPr>
          <w:rFonts w:cs="Arial" w:hint="cs"/>
          <w:b/>
          <w:bCs/>
          <w:rtl/>
          <w:lang w:bidi="he-IL"/>
        </w:rPr>
        <w:t xml:space="preserve">גמ' </w:t>
      </w:r>
      <w:r w:rsidR="006B7B62">
        <w:rPr>
          <w:rFonts w:cs="Arial" w:hint="cs"/>
          <w:rtl/>
          <w:lang w:bidi="he-IL"/>
        </w:rPr>
        <w:t>שם</w:t>
      </w:r>
      <w:r w:rsidRPr="00787302">
        <w:rPr>
          <w:rFonts w:cs="Arial" w:hint="cs"/>
          <w:rtl/>
          <w:lang w:bidi="he-IL"/>
        </w:rPr>
        <w:t xml:space="preserve"> [עד סוף העמוד]</w:t>
      </w:r>
      <w:r w:rsidR="006B7B62">
        <w:rPr>
          <w:rFonts w:cs="Arial" w:hint="cs"/>
          <w:rtl/>
          <w:lang w:bidi="he-IL"/>
        </w:rPr>
        <w:t xml:space="preserve">, </w:t>
      </w:r>
      <w:r w:rsidR="006B7B62" w:rsidRPr="006B7B62">
        <w:rPr>
          <w:rFonts w:cs="Arial" w:hint="cs"/>
          <w:b/>
          <w:bCs/>
          <w:rtl/>
          <w:lang w:bidi="he-IL"/>
        </w:rPr>
        <w:t>רש"י</w:t>
      </w:r>
      <w:r w:rsidR="006B7B62">
        <w:rPr>
          <w:rFonts w:cs="Arial" w:hint="cs"/>
          <w:rtl/>
          <w:lang w:bidi="he-IL"/>
        </w:rPr>
        <w:t xml:space="preserve"> שם</w:t>
      </w:r>
      <w:r w:rsidR="0075489F">
        <w:rPr>
          <w:rFonts w:cs="Arial" w:hint="cs"/>
          <w:rtl/>
          <w:lang w:bidi="he-IL"/>
        </w:rPr>
        <w:t>, [</w:t>
      </w:r>
      <w:r w:rsidR="0075489F" w:rsidRPr="0075489F">
        <w:rPr>
          <w:rFonts w:cs="Arial" w:hint="cs"/>
          <w:b/>
          <w:bCs/>
          <w:rtl/>
          <w:lang w:bidi="he-IL"/>
        </w:rPr>
        <w:t>רש"ש</w:t>
      </w:r>
      <w:r w:rsidR="0075489F">
        <w:rPr>
          <w:rFonts w:cs="Arial" w:hint="cs"/>
          <w:b/>
          <w:bCs/>
          <w:rtl/>
          <w:lang w:bidi="he-IL"/>
        </w:rPr>
        <w:t xml:space="preserve"> </w:t>
      </w:r>
      <w:r w:rsidR="0075489F" w:rsidRPr="0075489F">
        <w:rPr>
          <w:rFonts w:cs="Arial" w:hint="cs"/>
          <w:rtl/>
          <w:lang w:bidi="he-IL"/>
        </w:rPr>
        <w:t>שם</w:t>
      </w:r>
      <w:r w:rsidR="0075489F">
        <w:rPr>
          <w:rFonts w:cs="Arial" w:hint="cs"/>
          <w:rtl/>
          <w:lang w:bidi="he-IL"/>
        </w:rPr>
        <w:t xml:space="preserve"> (ד"ה גמרא מ"ס בר"ה)]</w:t>
      </w:r>
    </w:p>
    <w:p w14:paraId="1F310CA8" w14:textId="27221CAD" w:rsidR="006B7B62" w:rsidRPr="006B7B62" w:rsidRDefault="006B7B62" w:rsidP="00787302">
      <w:pPr>
        <w:jc w:val="right"/>
        <w:rPr>
          <w:rFonts w:cs="Arial"/>
          <w:b/>
          <w:bCs/>
          <w:rtl/>
          <w:lang w:bidi="he-IL"/>
        </w:rPr>
      </w:pPr>
      <w:r w:rsidRPr="006B7B62">
        <w:rPr>
          <w:rFonts w:cs="Arial" w:hint="cs"/>
          <w:b/>
          <w:bCs/>
          <w:rtl/>
          <w:lang w:bidi="he-IL"/>
        </w:rPr>
        <w:t>תוס'</w:t>
      </w:r>
      <w:r>
        <w:rPr>
          <w:rFonts w:cs="Arial" w:hint="cs"/>
          <w:b/>
          <w:bCs/>
          <w:rtl/>
          <w:lang w:bidi="he-IL"/>
        </w:rPr>
        <w:t xml:space="preserve"> </w:t>
      </w:r>
      <w:r w:rsidRPr="006B7B62">
        <w:rPr>
          <w:rFonts w:cs="Arial" w:hint="cs"/>
          <w:rtl/>
          <w:lang w:bidi="he-IL"/>
        </w:rPr>
        <w:t>שם</w:t>
      </w:r>
      <w:r>
        <w:rPr>
          <w:rFonts w:cs="Arial" w:hint="cs"/>
          <w:rtl/>
          <w:lang w:bidi="he-IL"/>
        </w:rPr>
        <w:t xml:space="preserve"> (ד"ה של יעל) ["ומצוה בשל יעל..." עד הסוף]</w:t>
      </w:r>
    </w:p>
    <w:p w14:paraId="3ADBC6EC" w14:textId="62B2E5CC" w:rsidR="00787302" w:rsidRDefault="00787302" w:rsidP="00787302">
      <w:pPr>
        <w:ind w:left="-90"/>
        <w:jc w:val="right"/>
        <w:rPr>
          <w:rFonts w:cs="Arial"/>
          <w:rtl/>
          <w:lang w:bidi="he-IL"/>
        </w:rPr>
      </w:pPr>
      <w:r w:rsidRPr="00787302">
        <w:rPr>
          <w:rFonts w:cs="Arial"/>
          <w:rtl/>
          <w:lang w:bidi="he-IL"/>
        </w:rPr>
        <w:t xml:space="preserve">דרשה לראש השנה </w:t>
      </w:r>
      <w:r w:rsidRPr="00787302">
        <w:rPr>
          <w:rFonts w:cs="Arial"/>
          <w:b/>
          <w:bCs/>
          <w:rtl/>
          <w:lang w:bidi="he-IL"/>
        </w:rPr>
        <w:t>לרמב"ן</w:t>
      </w:r>
      <w:r>
        <w:rPr>
          <w:rFonts w:cs="Arial" w:hint="cs"/>
          <w:rtl/>
          <w:lang w:bidi="he-IL"/>
        </w:rPr>
        <w:t xml:space="preserve"> (ד"ה מ"מ שנינו)*</w:t>
      </w:r>
    </w:p>
    <w:p w14:paraId="0426B1DB" w14:textId="2B7D7B29" w:rsidR="006B7B62" w:rsidRDefault="006B7B62" w:rsidP="00787302">
      <w:pPr>
        <w:ind w:left="-90"/>
        <w:jc w:val="right"/>
        <w:rPr>
          <w:rFonts w:cs="Arial"/>
          <w:rtl/>
          <w:lang w:bidi="he-IL"/>
        </w:rPr>
      </w:pPr>
      <w:r w:rsidRPr="006B7B62">
        <w:rPr>
          <w:rFonts w:cs="Arial" w:hint="cs"/>
          <w:b/>
          <w:bCs/>
          <w:rtl/>
          <w:lang w:bidi="he-IL"/>
        </w:rPr>
        <w:t>רמב"ם</w:t>
      </w:r>
      <w:r>
        <w:rPr>
          <w:rFonts w:cs="Arial" w:hint="cs"/>
          <w:b/>
          <w:bCs/>
          <w:rtl/>
          <w:lang w:bidi="he-IL"/>
        </w:rPr>
        <w:t xml:space="preserve"> </w:t>
      </w:r>
      <w:r w:rsidRPr="006B7B62">
        <w:rPr>
          <w:rFonts w:cs="Arial" w:hint="cs"/>
          <w:rtl/>
          <w:lang w:bidi="he-IL"/>
        </w:rPr>
        <w:t>הל' שופר (א:א)</w:t>
      </w:r>
      <w:r>
        <w:rPr>
          <w:rFonts w:cs="Arial" w:hint="cs"/>
          <w:rtl/>
          <w:lang w:bidi="he-IL"/>
        </w:rPr>
        <w:t xml:space="preserve"> [עד "... מקרן הכבש"], </w:t>
      </w:r>
      <w:r w:rsidRPr="006B7B62">
        <w:rPr>
          <w:rFonts w:cs="Arial" w:hint="cs"/>
          <w:b/>
          <w:bCs/>
          <w:rtl/>
          <w:lang w:bidi="he-IL"/>
        </w:rPr>
        <w:t>וראב"ד</w:t>
      </w:r>
      <w:r>
        <w:rPr>
          <w:rFonts w:cs="Arial" w:hint="cs"/>
          <w:rtl/>
          <w:lang w:bidi="he-IL"/>
        </w:rPr>
        <w:t xml:space="preserve"> שם</w:t>
      </w:r>
    </w:p>
    <w:p w14:paraId="07EAA353" w14:textId="59683174" w:rsidR="0075489F" w:rsidRPr="0075489F" w:rsidRDefault="0075489F" w:rsidP="00787302">
      <w:pPr>
        <w:ind w:left="-90"/>
        <w:jc w:val="right"/>
        <w:rPr>
          <w:rFonts w:cs="Arial"/>
          <w:b/>
          <w:bCs/>
          <w:rtl/>
          <w:lang w:bidi="he-IL"/>
        </w:rPr>
      </w:pPr>
      <w:r w:rsidRPr="0075489F">
        <w:rPr>
          <w:rFonts w:cs="Arial" w:hint="cs"/>
          <w:b/>
          <w:bCs/>
          <w:rtl/>
          <w:lang w:bidi="he-IL"/>
        </w:rPr>
        <w:t>מגיד משנה</w:t>
      </w:r>
      <w:r>
        <w:rPr>
          <w:rFonts w:cs="Arial" w:hint="cs"/>
          <w:b/>
          <w:bCs/>
          <w:rtl/>
          <w:lang w:bidi="he-IL"/>
        </w:rPr>
        <w:t xml:space="preserve"> </w:t>
      </w:r>
      <w:r w:rsidRPr="0075489F">
        <w:rPr>
          <w:rFonts w:cs="Arial" w:hint="cs"/>
          <w:rtl/>
          <w:lang w:bidi="he-IL"/>
        </w:rPr>
        <w:t>שם</w:t>
      </w:r>
      <w:r>
        <w:rPr>
          <w:rFonts w:cs="Arial" w:hint="cs"/>
          <w:rtl/>
          <w:lang w:bidi="he-IL"/>
        </w:rPr>
        <w:t xml:space="preserve"> (ד"ה וכל השופרות פסולים)</w:t>
      </w:r>
    </w:p>
    <w:p w14:paraId="658B505A" w14:textId="3735F179" w:rsidR="006B7B62" w:rsidRPr="006B7B62" w:rsidRDefault="006B7B62" w:rsidP="00787302">
      <w:pPr>
        <w:ind w:left="-90"/>
        <w:jc w:val="right"/>
        <w:rPr>
          <w:rFonts w:cs="Arial"/>
          <w:b/>
          <w:bCs/>
          <w:rtl/>
          <w:lang w:bidi="he-IL"/>
        </w:rPr>
      </w:pPr>
      <w:r w:rsidRPr="006B7B62">
        <w:rPr>
          <w:rFonts w:cs="Arial" w:hint="cs"/>
          <w:b/>
          <w:bCs/>
          <w:rtl/>
          <w:lang w:bidi="he-IL"/>
        </w:rPr>
        <w:t>ריטב"א</w:t>
      </w:r>
      <w:r>
        <w:rPr>
          <w:rFonts w:cs="Arial" w:hint="cs"/>
          <w:b/>
          <w:bCs/>
          <w:rtl/>
          <w:lang w:bidi="he-IL"/>
        </w:rPr>
        <w:t xml:space="preserve"> </w:t>
      </w:r>
      <w:r w:rsidRPr="006B7B62">
        <w:rPr>
          <w:rFonts w:cs="Arial" w:hint="cs"/>
          <w:rtl/>
          <w:lang w:bidi="he-IL"/>
        </w:rPr>
        <w:t>כו:</w:t>
      </w:r>
      <w:r>
        <w:rPr>
          <w:rFonts w:cs="Arial" w:hint="cs"/>
          <w:rtl/>
          <w:lang w:bidi="he-IL"/>
        </w:rPr>
        <w:t xml:space="preserve"> (ד"ה מתני') [</w:t>
      </w:r>
      <w:r w:rsidR="0075489F">
        <w:rPr>
          <w:rFonts w:cs="Arial" w:hint="cs"/>
          <w:rtl/>
          <w:lang w:bidi="he-IL"/>
        </w:rPr>
        <w:t>עד "... למעבד עביד טפי"]</w:t>
      </w:r>
    </w:p>
    <w:p w14:paraId="3C5C5197" w14:textId="77777777" w:rsidR="00787302" w:rsidRPr="00787302" w:rsidRDefault="00787302" w:rsidP="00787302">
      <w:pPr>
        <w:ind w:left="-90"/>
        <w:jc w:val="right"/>
        <w:rPr>
          <w:rFonts w:cs="Arial"/>
        </w:rPr>
      </w:pPr>
    </w:p>
    <w:p w14:paraId="200DC709" w14:textId="77777777" w:rsidR="004315CE" w:rsidRDefault="004315CE" w:rsidP="00194B70">
      <w:pPr>
        <w:jc w:val="right"/>
        <w:rPr>
          <w:rtl/>
          <w:lang w:bidi="he-IL"/>
        </w:rPr>
      </w:pPr>
    </w:p>
    <w:p w14:paraId="2B8AF9AC" w14:textId="77777777" w:rsidR="004315CE" w:rsidRPr="004315CE" w:rsidRDefault="004315CE" w:rsidP="004315CE">
      <w:pPr>
        <w:jc w:val="right"/>
        <w:rPr>
          <w:u w:val="single"/>
        </w:rPr>
      </w:pPr>
      <w:r w:rsidRPr="004315CE">
        <w:rPr>
          <w:rFonts w:cs="Arial"/>
          <w:u w:val="single"/>
          <w:rtl/>
          <w:lang w:bidi="he-IL"/>
        </w:rPr>
        <w:t>מזרחי (רא"ם) ויקרא פרשת שמיני פרק ט פסוק ב</w:t>
      </w:r>
    </w:p>
    <w:p w14:paraId="0D98F51C" w14:textId="55634513" w:rsidR="004315CE" w:rsidRDefault="004315CE" w:rsidP="004315CE">
      <w:pPr>
        <w:jc w:val="right"/>
      </w:pPr>
      <w:r>
        <w:rPr>
          <w:rFonts w:cs="Arial"/>
          <w:rtl/>
          <w:lang w:bidi="he-IL"/>
        </w:rPr>
        <w:t>ואם תאמר, איך יכפר העגל על מעשה העגל והא אין קטיגור נעשה סניגור, כדתנן בפרק ראוהו בית דין (ראש השנה כו א): "כל השופרות כשרין, חוץ משל פרה. ואמר עולא היינו טעמא, כדרב חסדא, דאמר רב חסדא: מפני מה אין כהן גדול נכנס בבגדי זהב לפני ולפנים לעבוד עבודה, לפי שאין קטיגור נעשה סניגור. הכא נמי אין קטיגור נעשה סניגור". ופירש"י: "זהב העגל ושופר של פרה, קטיגור דעגל הוא". יש לומר, דלא אמרינן אין קטיגור נעשה סניגור אלא באותן שעבודתן בפנים, אבל באותן שעבודתן בחוץ [כגון] הכהן הלובש בגדי זהב בעבודת חוץ, וכגון פר החטאת ועגל החטאת וכל הפרים של מוספי המועדים ושל ראשי חדשים שאין עבודתן בפנים, אבל במזבח החיצון, לא קאמרינן. דהא בגמרא פריך: "והא איכא בגדי זהב מבחוץ", ומשני: "מבפנים קאמרינן, מבחוץ לא קאמרינן". והדר פריך: "אי הכי שופר נמי מבחוץ הוא", ומשני: "כיון דלזכרון קאתי, כלפנים דמי</w:t>
      </w:r>
      <w:r>
        <w:rPr>
          <w:rFonts w:cs="Arial" w:hint="cs"/>
          <w:rtl/>
          <w:lang w:bidi="he-IL"/>
        </w:rPr>
        <w:t>.</w:t>
      </w:r>
      <w:r>
        <w:t>"</w:t>
      </w:r>
    </w:p>
    <w:p w14:paraId="2BF631B2" w14:textId="69B6ACEF" w:rsidR="004315CE" w:rsidRDefault="004315CE" w:rsidP="004315CE">
      <w:pPr>
        <w:jc w:val="right"/>
        <w:rPr>
          <w:rFonts w:cs="Arial"/>
          <w:rtl/>
          <w:lang w:bidi="he-IL"/>
        </w:rPr>
      </w:pPr>
      <w:r>
        <w:rPr>
          <w:rFonts w:cs="Arial"/>
          <w:rtl/>
          <w:lang w:bidi="he-IL"/>
        </w:rPr>
        <w:t>ואם תאמר: תינח בפרים של חטאות חצוניות, שאין עבודתן בפנים אלא בחוץ - בפרים של חטאות פנימיות, כגון פר כהן משיח ופר העלם דבר של צבור ופר יום הכפורים שעבודתן בפנים, מאי איכא למימר. יש לומר, כיון דחטאות פנימיות אינן נכנסין מהן בפנים, אלא דמן בלבד אין בכך כלום מפני שכבר נשתנה מראיתן ואינו ניכר בדם. שכבר הקשו על זה בגמרא (ר"ה כו א): "והא איכא דם הפר". ותרצו: "הואיל ואישתני אישתני". ופירש"י: "הואיל ואישתני - להיות דם ואין מראית הפר ניכר בו, אישתני - מלהיות קטיגור</w:t>
      </w:r>
      <w:r>
        <w:rPr>
          <w:rFonts w:cs="Arial" w:hint="cs"/>
          <w:rtl/>
          <w:lang w:bidi="he-IL"/>
        </w:rPr>
        <w:t>."</w:t>
      </w:r>
    </w:p>
    <w:p w14:paraId="646F3FD8" w14:textId="77777777" w:rsidR="004315CE" w:rsidRPr="004315CE" w:rsidRDefault="004315CE" w:rsidP="004315CE">
      <w:pPr>
        <w:jc w:val="right"/>
        <w:rPr>
          <w:rFonts w:cs="Arial"/>
          <w:u w:val="single"/>
        </w:rPr>
      </w:pPr>
      <w:r w:rsidRPr="004315CE">
        <w:rPr>
          <w:rFonts w:cs="Arial"/>
          <w:u w:val="single"/>
          <w:rtl/>
          <w:lang w:bidi="he-IL"/>
        </w:rPr>
        <w:t>גור אריה ויקרא פרשת שמיני פרק ט פסוק ב</w:t>
      </w:r>
    </w:p>
    <w:p w14:paraId="20153C78" w14:textId="041688E7" w:rsidR="004315CE" w:rsidRDefault="004315CE" w:rsidP="004315CE">
      <w:pPr>
        <w:ind w:left="-90"/>
        <w:jc w:val="right"/>
        <w:rPr>
          <w:rFonts w:cs="Arial"/>
          <w:rtl/>
          <w:lang w:bidi="he-IL"/>
        </w:rPr>
      </w:pPr>
      <w:r w:rsidRPr="004315CE">
        <w:rPr>
          <w:rFonts w:cs="Arial"/>
          <w:rtl/>
          <w:lang w:bidi="he-IL"/>
        </w:rPr>
        <w:t xml:space="preserve">להודיע שמכפר לו כו'. יש מקשים, והלא אין קטיגור נעשה סניגור (ר"ה כו.), ואיך היה עגל מכפר על מעשה העגל שעשאו, ואין זה קשיא, דלא אמרינן אין קטיגור נעשה סניגור אלא בכהאי גוונא [כמו] כהן ביום הכפורים אל יכנס </w:t>
      </w:r>
      <w:r w:rsidRPr="004315CE">
        <w:rPr>
          <w:rFonts w:cs="Arial"/>
          <w:rtl/>
          <w:lang w:bidi="he-IL"/>
        </w:rPr>
        <w:lastRenderedPageBreak/>
        <w:t>בבגדי זהב, דאין קטיגור נעשה סניגור (שם), דביום הכפורים אינו רוצה לכפר על מעשה עגל רק על שאר חטאים, ואם יכנס בבגדי זהב לכפר על שאר חטאים יהיה קטיגור, ויקטרג - המה עשו העגל זהב ועכשו רוצה לכפר בו שאר עבירות, אבל במקום שהוא בעצמו בא לכפר על אותו חטא, יותר טוב אם ישוב בתשובה באותו דבר בעצמו. משל למי שגנב מבית המלך כלי נאה אשר בו ישתה המלך, ופעם אחד בא לפייסו שיתן לו במתנה מדינה אחת, ועשה כלי אחת כצורת אותו כלי שגנב, ובא לפייסו באותו כלי שיתן לו המתנה, והנה יהיה קטיגור עליו, מפני שהמלך יזכור לו שהוא גנב שגנב כלי נאה שלו כדמות זה, ובזה שייך 'אין קטיגור נעשה סניגור'. אבל אם היה בא לפייס החטא שגנב, והיה עושה כלי זה כדמות זה שגנב, והחזירו למלך, בזה אדרבא, מכפר לו מה שעשה, כי בדבר שחטא בו יפוייס המלך. ולפיכך כאן שהעגל בא לכפר על מעשה העגל שעשה, שייך שפיר בזה להביא קרבן עגל לכפר</w:t>
      </w:r>
      <w:r>
        <w:rPr>
          <w:rFonts w:cs="Arial" w:hint="cs"/>
          <w:rtl/>
          <w:lang w:bidi="he-IL"/>
        </w:rPr>
        <w:t>.</w:t>
      </w:r>
    </w:p>
    <w:p w14:paraId="61789EC0" w14:textId="77777777" w:rsidR="004315CE" w:rsidRPr="004315CE" w:rsidRDefault="004315CE" w:rsidP="004315CE">
      <w:pPr>
        <w:ind w:left="-90"/>
        <w:jc w:val="right"/>
        <w:rPr>
          <w:rFonts w:cs="Arial"/>
          <w:u w:val="single"/>
        </w:rPr>
      </w:pPr>
      <w:r w:rsidRPr="004315CE">
        <w:rPr>
          <w:rFonts w:cs="Arial"/>
          <w:u w:val="single"/>
          <w:rtl/>
          <w:lang w:bidi="he-IL"/>
        </w:rPr>
        <w:t>ערוך לנר מסכת ראש השנה דף כו עמוד א</w:t>
      </w:r>
    </w:p>
    <w:p w14:paraId="6F8EB246" w14:textId="3C8C79D7" w:rsidR="004315CE" w:rsidRDefault="004315CE" w:rsidP="004315CE">
      <w:pPr>
        <w:ind w:left="-90"/>
        <w:jc w:val="right"/>
        <w:rPr>
          <w:rFonts w:cs="Arial"/>
          <w:rtl/>
          <w:lang w:bidi="he-IL"/>
        </w:rPr>
      </w:pPr>
      <w:r w:rsidRPr="004315CE">
        <w:rPr>
          <w:rFonts w:cs="Arial"/>
          <w:rtl/>
          <w:lang w:bidi="he-IL"/>
        </w:rPr>
        <w:t>בגמרא נעשה סניגור. המהרש"א בחדושי אגדות הביא בשם הרא"מ פרשת שמיני הרי אמרינן בפסיקתא קח לך עגל יבא עגל ויכפר על מעשה עגל הרי דקטיגור נעשה סניגור. ותירץ כתירוץ הגמרא דהכא דמבפנים קאמרינן ועגל מבחוץ הוא והמהרש"א הקשה על זה דמ"מ אין סברא לומר דמה שהוא קטיגור בפנים יהיה כפרה וסניגור בחוץ. ולענ"ד ביותר יש להקשות דהרי במדרש רבה פ' פקודי איתא אמר הקדוש ברוך הוא יבא זהב המשכן ויכפר על זהב העגל והלא מזהב זה נעשו גם ארון וכפורת וכרובים וא"כ הוי סניגור בפנים ואיך שוב יקרא קטיגור. אבל לענ"ד י"ל דודאי הדבר שהובא לכפרה על הדבר בעצמו בזה לא שייך קטיגור דכן דרך התשובה השלימה והאמיתית לשוב באותו דבר שחטא בו על דרך שאמרו באותו מקום ובאותה אשה ותשובה כזו היא סניגור ודאי כמו שאמרו (יומא פו ב) זדונות נעשות כזכיות ולכן העגל והזהב שהובאו לכפרת עון העגל הוי סניגור ולא קטיגור אבל במה שלא בא לכפרת עון העגל רק לצורך אחר כגון בגדי כה"ג ושופר בזה שייך הזכרת החטא ונעשה קטיגור ואין להקשות דא"כ כי פריך האיכא ארון כו' לישני האי לכפרה הובא. די"ל דהרי היה ג"כ מזהב שלא הובא לכפרה מה שהביאו שבט לוי והנשים שלא חטאו בעגל ולא הוצרכו לכפרה ולכן משני חוטא בל יקריב</w:t>
      </w:r>
      <w:r>
        <w:rPr>
          <w:rFonts w:cs="Arial" w:hint="cs"/>
          <w:rtl/>
          <w:lang w:bidi="he-IL"/>
        </w:rPr>
        <w:t>:</w:t>
      </w:r>
    </w:p>
    <w:p w14:paraId="2F2720BE" w14:textId="77777777" w:rsidR="00787302" w:rsidRPr="00787302" w:rsidRDefault="00787302" w:rsidP="00787302">
      <w:pPr>
        <w:ind w:left="-90"/>
        <w:jc w:val="right"/>
        <w:rPr>
          <w:rFonts w:cs="Arial"/>
          <w:u w:val="single"/>
        </w:rPr>
      </w:pPr>
      <w:r w:rsidRPr="00787302">
        <w:rPr>
          <w:rFonts w:cs="Arial"/>
          <w:u w:val="single"/>
          <w:rtl/>
          <w:lang w:bidi="he-IL"/>
        </w:rPr>
        <w:t>דרשה לראש השנה לרמב"ן</w:t>
      </w:r>
    </w:p>
    <w:p w14:paraId="742B0A63" w14:textId="0B1FDCFD" w:rsidR="00787302" w:rsidRDefault="00787302" w:rsidP="00787302">
      <w:pPr>
        <w:ind w:left="-90"/>
        <w:jc w:val="right"/>
        <w:rPr>
          <w:rFonts w:cs="Arial"/>
          <w:rtl/>
          <w:lang w:bidi="he-IL"/>
        </w:rPr>
      </w:pPr>
      <w:r w:rsidRPr="00787302">
        <w:rPr>
          <w:rFonts w:cs="Arial"/>
          <w:rtl/>
          <w:lang w:bidi="he-IL"/>
        </w:rPr>
        <w:t>ונראין הדברים דהא דקתני זכרים כפופים זכרים לאו דוקא אלא בכפופים בלחוד קפיד תנא, ורישא דקתני של יעל פשוט בפשוט בלחוד קפיד, דיעל לא מיכתב כתיב ולא מרמז רמיז כלל, אלא בעי תנא פשוט זכר ליום טוב שתרום קרננו, ונקיט של יעל דהוא פשוט והוא הדין לכל הפשוטים, וכן סיפא בעי תנא כפוף כדי שיכופו לבם בתשובה, ונקט של זכרים דהן כפופים והוא הדין לכל הכפופים, וכל זה למצוה, דהא ר' יהודה אמר בראש השנה תוקעין בשל זכרים וביובלות בשל יעלים, וראש השנה מיובל גמר בג"ש שיהיו כל תקיעות של חודש השביעי כזה, ואין לנו בראש השנה שופר אלא מיובל, אלא ודאי לענין הדברים המעכבין בתקיעה ראש השנה ויובל אחד הוא, דהא דאוריתא אינון, אבל פשוטין וכפופין לאו דאוריתא ואינן מעכבין כלל אלא שבחרו להם חכמים כן לכתחילה, והכי לישנא דגמרא אמר ר' לוי מצוה של ראש השנה ושל יום הכיפורים בכפופים</w:t>
      </w:r>
    </w:p>
    <w:p w14:paraId="61454051" w14:textId="77777777" w:rsidR="004315CE" w:rsidRPr="004315CE" w:rsidRDefault="004315CE" w:rsidP="004315CE">
      <w:pPr>
        <w:ind w:left="-90"/>
        <w:jc w:val="right"/>
        <w:rPr>
          <w:rFonts w:cs="Arial"/>
          <w:rtl/>
          <w:lang w:bidi="he-IL"/>
        </w:rPr>
      </w:pPr>
    </w:p>
    <w:p w14:paraId="3C55E72C" w14:textId="77777777" w:rsidR="008530F9" w:rsidRDefault="000146E9"/>
    <w:sectPr w:rsidR="008530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8E734" w14:textId="77777777" w:rsidR="000146E9" w:rsidRDefault="000146E9" w:rsidP="00194B70">
      <w:pPr>
        <w:spacing w:after="0" w:line="240" w:lineRule="auto"/>
      </w:pPr>
      <w:r>
        <w:separator/>
      </w:r>
    </w:p>
  </w:endnote>
  <w:endnote w:type="continuationSeparator" w:id="0">
    <w:p w14:paraId="6CBCFA40" w14:textId="77777777" w:rsidR="000146E9" w:rsidRDefault="000146E9" w:rsidP="00194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56BD8" w14:textId="77777777" w:rsidR="000146E9" w:rsidRDefault="000146E9" w:rsidP="00194B70">
      <w:pPr>
        <w:spacing w:after="0" w:line="240" w:lineRule="auto"/>
      </w:pPr>
      <w:r>
        <w:separator/>
      </w:r>
    </w:p>
  </w:footnote>
  <w:footnote w:type="continuationSeparator" w:id="0">
    <w:p w14:paraId="4054EB68" w14:textId="77777777" w:rsidR="000146E9" w:rsidRDefault="000146E9" w:rsidP="00194B70">
      <w:pPr>
        <w:spacing w:after="0" w:line="240" w:lineRule="auto"/>
      </w:pPr>
      <w:r>
        <w:continuationSeparator/>
      </w:r>
    </w:p>
  </w:footnote>
  <w:footnote w:id="1">
    <w:p w14:paraId="3E77DFB7" w14:textId="77777777" w:rsidR="00194B70" w:rsidRPr="00266DC6" w:rsidRDefault="00194B70" w:rsidP="00194B70">
      <w:pPr>
        <w:pStyle w:val="FootnoteText"/>
        <w:rPr>
          <w:sz w:val="16"/>
          <w:szCs w:val="16"/>
          <w:lang w:bidi="he-IL"/>
        </w:rPr>
      </w:pPr>
      <w:r w:rsidRPr="00266DC6">
        <w:rPr>
          <w:rStyle w:val="FootnoteReference"/>
          <w:sz w:val="16"/>
          <w:szCs w:val="16"/>
        </w:rPr>
        <w:footnoteRef/>
      </w:r>
      <w:r w:rsidRPr="00266DC6">
        <w:rPr>
          <w:sz w:val="16"/>
          <w:szCs w:val="16"/>
        </w:rPr>
        <w:t xml:space="preserve"> </w:t>
      </w:r>
      <w:r w:rsidRPr="00266DC6">
        <w:rPr>
          <w:sz w:val="16"/>
          <w:szCs w:val="16"/>
          <w:lang w:bidi="he-IL"/>
        </w:rPr>
        <w:t xml:space="preserve">Any mekor with </w:t>
      </w:r>
      <w:r w:rsidRPr="00266DC6">
        <w:rPr>
          <w:rFonts w:hint="cs"/>
          <w:sz w:val="16"/>
          <w:szCs w:val="16"/>
          <w:rtl/>
          <w:lang w:bidi="he-IL"/>
        </w:rPr>
        <w:t>*</w:t>
      </w:r>
      <w:r w:rsidRPr="00266DC6">
        <w:rPr>
          <w:sz w:val="16"/>
          <w:szCs w:val="16"/>
          <w:lang w:bidi="he-IL"/>
        </w:rPr>
        <w:t xml:space="preserve"> can be found below</w:t>
      </w:r>
      <w:r>
        <w:rPr>
          <w:sz w:val="16"/>
          <w:szCs w:val="16"/>
          <w:lang w:bidi="he-IL"/>
        </w:rPr>
        <w:t xml:space="preserve">.  Any mekor with *** can be found on the WhatsApp group.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B70"/>
    <w:rsid w:val="000146E9"/>
    <w:rsid w:val="00194B70"/>
    <w:rsid w:val="004315CE"/>
    <w:rsid w:val="00484CEC"/>
    <w:rsid w:val="006B7B62"/>
    <w:rsid w:val="0075489F"/>
    <w:rsid w:val="00787302"/>
    <w:rsid w:val="008A1AE2"/>
    <w:rsid w:val="0094061D"/>
    <w:rsid w:val="00A46F84"/>
    <w:rsid w:val="00C36B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D8962"/>
  <w15:chartTrackingRefBased/>
  <w15:docId w15:val="{8BE48A1A-46E0-4731-838B-E2559FB88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94B70"/>
    <w:pPr>
      <w:spacing w:after="0" w:line="240" w:lineRule="auto"/>
    </w:pPr>
    <w:rPr>
      <w:sz w:val="20"/>
      <w:szCs w:val="20"/>
    </w:rPr>
  </w:style>
  <w:style w:type="character" w:customStyle="1" w:styleId="FootnoteTextChar">
    <w:name w:val="Footnote Text Char"/>
    <w:basedOn w:val="DefaultParagraphFont"/>
    <w:link w:val="FootnoteText"/>
    <w:uiPriority w:val="99"/>
    <w:rsid w:val="00194B70"/>
    <w:rPr>
      <w:sz w:val="20"/>
      <w:szCs w:val="20"/>
    </w:rPr>
  </w:style>
  <w:style w:type="character" w:styleId="FootnoteReference">
    <w:name w:val="footnote reference"/>
    <w:basedOn w:val="DefaultParagraphFont"/>
    <w:uiPriority w:val="99"/>
    <w:semiHidden/>
    <w:unhideWhenUsed/>
    <w:rsid w:val="00194B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4</cp:revision>
  <dcterms:created xsi:type="dcterms:W3CDTF">2021-07-06T19:04:00Z</dcterms:created>
  <dcterms:modified xsi:type="dcterms:W3CDTF">2021-07-07T14:08:00Z</dcterms:modified>
</cp:coreProperties>
</file>