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289C" w14:textId="77777777" w:rsidR="0010470B" w:rsidRPr="0010470B" w:rsidRDefault="0010470B" w:rsidP="0010470B">
      <w:pPr>
        <w:jc w:val="right"/>
        <w:rPr>
          <w:rtl/>
          <w:lang w:bidi="he-IL"/>
        </w:rPr>
      </w:pPr>
      <w:r w:rsidRPr="0010470B">
        <w:rPr>
          <w:rFonts w:hint="cs"/>
          <w:rtl/>
          <w:lang w:bidi="he-IL"/>
        </w:rPr>
        <w:t>הרב שמואל דוב ווייס</w:t>
      </w:r>
    </w:p>
    <w:p w14:paraId="0C5CB7F4" w14:textId="1A8DAA40" w:rsidR="0010470B" w:rsidRPr="0010470B" w:rsidRDefault="0010470B" w:rsidP="0010470B">
      <w:pPr>
        <w:jc w:val="center"/>
        <w:rPr>
          <w:rtl/>
          <w:lang w:bidi="he-IL"/>
        </w:rPr>
      </w:pPr>
      <w:r w:rsidRPr="0010470B">
        <w:rPr>
          <w:rFonts w:hint="cs"/>
          <w:b/>
          <w:bCs/>
          <w:sz w:val="30"/>
          <w:szCs w:val="30"/>
          <w:u w:val="single"/>
          <w:rtl/>
          <w:lang w:bidi="he-IL"/>
        </w:rPr>
        <w:t>מצות שופר</w:t>
      </w:r>
      <w:r w:rsidRPr="0010470B">
        <w:rPr>
          <w:rFonts w:hint="cs"/>
          <w:rtl/>
          <w:lang w:bidi="he-IL"/>
        </w:rPr>
        <w:t xml:space="preserve"> (#</w:t>
      </w:r>
      <w:r>
        <w:rPr>
          <w:rFonts w:hint="cs"/>
          <w:rtl/>
          <w:lang w:bidi="he-IL"/>
        </w:rPr>
        <w:t>5</w:t>
      </w:r>
      <w:r w:rsidRPr="0010470B">
        <w:rPr>
          <w:rFonts w:hint="cs"/>
          <w:rtl/>
          <w:lang w:bidi="he-IL"/>
        </w:rPr>
        <w:t>)</w:t>
      </w:r>
    </w:p>
    <w:p w14:paraId="2D78BE61" w14:textId="740475B8" w:rsidR="008530F9" w:rsidRDefault="0010470B" w:rsidP="0010470B">
      <w:pPr>
        <w:jc w:val="right"/>
        <w:rPr>
          <w:u w:val="single"/>
          <w:rtl/>
          <w:lang w:bidi="he-IL"/>
        </w:rPr>
      </w:pPr>
      <w:r>
        <w:rPr>
          <w:rFonts w:hint="cs"/>
          <w:u w:val="single"/>
          <w:rtl/>
          <w:lang w:bidi="he-IL"/>
        </w:rPr>
        <w:t>אין קטיגור נעשה סניגור</w:t>
      </w:r>
      <w:r w:rsidR="00266DC6" w:rsidRPr="00266DC6">
        <w:rPr>
          <w:rStyle w:val="FootnoteReference"/>
          <w:rtl/>
          <w:lang w:bidi="he-IL"/>
        </w:rPr>
        <w:footnoteReference w:id="1"/>
      </w:r>
    </w:p>
    <w:p w14:paraId="65B85A19" w14:textId="77777777" w:rsidR="00225FA0" w:rsidRDefault="0010470B" w:rsidP="0010470B">
      <w:pPr>
        <w:jc w:val="right"/>
        <w:rPr>
          <w:rtl/>
          <w:lang w:bidi="he-IL"/>
        </w:rPr>
      </w:pPr>
      <w:r>
        <w:rPr>
          <w:rFonts w:hint="cs"/>
          <w:b/>
          <w:bCs/>
          <w:rtl/>
          <w:lang w:bidi="he-IL"/>
        </w:rPr>
        <w:t>משנה</w:t>
      </w:r>
      <w:r>
        <w:rPr>
          <w:rFonts w:hint="cs"/>
          <w:rtl/>
          <w:lang w:bidi="he-IL"/>
        </w:rPr>
        <w:t xml:space="preserve"> כו., </w:t>
      </w:r>
      <w:r w:rsidRPr="00E81FD7">
        <w:rPr>
          <w:rFonts w:hint="cs"/>
          <w:b/>
          <w:bCs/>
          <w:rtl/>
          <w:lang w:bidi="he-IL"/>
        </w:rPr>
        <w:t>גמ'</w:t>
      </w:r>
      <w:r>
        <w:rPr>
          <w:rFonts w:hint="cs"/>
          <w:b/>
          <w:bCs/>
          <w:rtl/>
          <w:lang w:bidi="he-IL"/>
        </w:rPr>
        <w:t xml:space="preserve"> </w:t>
      </w:r>
      <w:r w:rsidRPr="00E81FD7">
        <w:rPr>
          <w:rFonts w:hint="cs"/>
          <w:rtl/>
          <w:lang w:bidi="he-IL"/>
        </w:rPr>
        <w:t>שם</w:t>
      </w:r>
      <w:r>
        <w:rPr>
          <w:rFonts w:hint="cs"/>
          <w:rtl/>
          <w:lang w:bidi="he-IL"/>
        </w:rPr>
        <w:t xml:space="preserve"> </w:t>
      </w:r>
      <w:r>
        <w:rPr>
          <w:rFonts w:hint="cs"/>
          <w:rtl/>
          <w:lang w:bidi="he-IL"/>
        </w:rPr>
        <w:t xml:space="preserve">[עד (ולא עד בכלל) </w:t>
      </w:r>
      <w:r>
        <w:rPr>
          <w:rFonts w:hint="cs"/>
          <w:rtl/>
          <w:lang w:bidi="he-IL"/>
        </w:rPr>
        <w:t>"</w:t>
      </w:r>
      <w:r>
        <w:rPr>
          <w:rFonts w:hint="cs"/>
          <w:rtl/>
          <w:lang w:bidi="he-IL"/>
        </w:rPr>
        <w:t>.. מאי משמע"</w:t>
      </w:r>
      <w:r>
        <w:rPr>
          <w:rFonts w:hint="cs"/>
          <w:rtl/>
          <w:lang w:bidi="he-IL"/>
        </w:rPr>
        <w:t>]</w:t>
      </w:r>
    </w:p>
    <w:p w14:paraId="3BB5DD4D" w14:textId="4D6754AF" w:rsidR="0010470B" w:rsidRDefault="0010470B" w:rsidP="0010470B">
      <w:pPr>
        <w:jc w:val="right"/>
        <w:rPr>
          <w:rtl/>
          <w:lang w:bidi="he-IL"/>
        </w:rPr>
      </w:pPr>
      <w:r w:rsidRPr="00E81FD7">
        <w:rPr>
          <w:rFonts w:hint="cs"/>
          <w:b/>
          <w:bCs/>
          <w:rtl/>
          <w:lang w:bidi="he-IL"/>
        </w:rPr>
        <w:t>רש"י</w:t>
      </w:r>
      <w:r>
        <w:rPr>
          <w:rFonts w:hint="cs"/>
          <w:rtl/>
          <w:lang w:bidi="he-IL"/>
        </w:rPr>
        <w:t xml:space="preserve"> שם</w:t>
      </w:r>
      <w:r w:rsidR="00433002">
        <w:rPr>
          <w:rFonts w:hint="cs"/>
          <w:rtl/>
          <w:lang w:bidi="he-IL"/>
        </w:rPr>
        <w:t xml:space="preserve"> [בפרט ד"ה כיון דלזכרון]</w:t>
      </w:r>
    </w:p>
    <w:p w14:paraId="1028989E" w14:textId="5EBCB357" w:rsidR="00225FA0" w:rsidRDefault="00225FA0" w:rsidP="00225FA0">
      <w:pPr>
        <w:jc w:val="right"/>
        <w:rPr>
          <w:rtl/>
          <w:lang w:bidi="he-IL"/>
        </w:rPr>
      </w:pPr>
      <w:r w:rsidRPr="00225FA0">
        <w:rPr>
          <w:rFonts w:hint="cs"/>
          <w:b/>
          <w:bCs/>
          <w:rtl/>
          <w:lang w:bidi="he-IL"/>
        </w:rPr>
        <w:t>תוס</w:t>
      </w:r>
      <w:r>
        <w:rPr>
          <w:rFonts w:hint="cs"/>
          <w:b/>
          <w:bCs/>
          <w:rtl/>
          <w:lang w:bidi="he-IL"/>
        </w:rPr>
        <w:t xml:space="preserve">' </w:t>
      </w:r>
      <w:r>
        <w:rPr>
          <w:rFonts w:hint="cs"/>
          <w:rtl/>
          <w:lang w:bidi="he-IL"/>
        </w:rPr>
        <w:t xml:space="preserve">שם (ד"ה </w:t>
      </w:r>
      <w:r w:rsidRPr="00225FA0">
        <w:rPr>
          <w:rFonts w:hint="cs"/>
          <w:rtl/>
          <w:lang w:bidi="he-IL"/>
        </w:rPr>
        <w:t>חוטא</w:t>
      </w:r>
      <w:r w:rsidRPr="00225FA0">
        <w:rPr>
          <w:rtl/>
          <w:lang w:bidi="he-IL"/>
        </w:rPr>
        <w:t xml:space="preserve"> </w:t>
      </w:r>
      <w:r w:rsidRPr="00225FA0">
        <w:rPr>
          <w:rFonts w:hint="cs"/>
          <w:rtl/>
          <w:lang w:bidi="he-IL"/>
        </w:rPr>
        <w:t>בל</w:t>
      </w:r>
      <w:r w:rsidRPr="00225FA0">
        <w:rPr>
          <w:rtl/>
          <w:lang w:bidi="he-IL"/>
        </w:rPr>
        <w:t xml:space="preserve"> </w:t>
      </w:r>
      <w:r w:rsidRPr="00225FA0">
        <w:rPr>
          <w:rFonts w:hint="cs"/>
          <w:rtl/>
          <w:lang w:bidi="he-IL"/>
        </w:rPr>
        <w:t>יתנאה</w:t>
      </w:r>
      <w:r>
        <w:rPr>
          <w:rFonts w:hint="cs"/>
          <w:rtl/>
          <w:lang w:bidi="he-IL"/>
        </w:rPr>
        <w:t>)</w:t>
      </w:r>
    </w:p>
    <w:p w14:paraId="0838EA00" w14:textId="3800CA00" w:rsidR="00225FA0" w:rsidRPr="00225FA0" w:rsidRDefault="00225FA0" w:rsidP="00225FA0">
      <w:pPr>
        <w:jc w:val="right"/>
        <w:rPr>
          <w:rtl/>
          <w:lang w:bidi="he-IL"/>
        </w:rPr>
      </w:pPr>
      <w:r w:rsidRPr="00225FA0">
        <w:rPr>
          <w:rFonts w:hint="cs"/>
          <w:b/>
          <w:bCs/>
          <w:rtl/>
          <w:lang w:bidi="he-IL"/>
        </w:rPr>
        <w:t>תוס' רי"ד</w:t>
      </w:r>
      <w:r>
        <w:rPr>
          <w:rFonts w:hint="cs"/>
          <w:rtl/>
          <w:lang w:bidi="he-IL"/>
        </w:rPr>
        <w:t xml:space="preserve"> שם (ד"ה </w:t>
      </w:r>
      <w:r w:rsidRPr="00225FA0">
        <w:rPr>
          <w:rFonts w:hint="cs"/>
          <w:rtl/>
          <w:lang w:bidi="he-IL"/>
        </w:rPr>
        <w:t>חוטא בל יתנאה</w:t>
      </w:r>
      <w:r>
        <w:rPr>
          <w:rFonts w:hint="cs"/>
          <w:rtl/>
          <w:lang w:bidi="he-IL"/>
        </w:rPr>
        <w:t>)</w:t>
      </w:r>
      <w:r w:rsidR="00266DC6">
        <w:rPr>
          <w:rFonts w:hint="cs"/>
          <w:rtl/>
          <w:lang w:bidi="he-IL"/>
        </w:rPr>
        <w:t>*</w:t>
      </w:r>
    </w:p>
    <w:p w14:paraId="25B59AD8" w14:textId="5AA4BA1B" w:rsidR="00433002" w:rsidRDefault="00433002" w:rsidP="00433002">
      <w:pPr>
        <w:jc w:val="right"/>
        <w:rPr>
          <w:rtl/>
          <w:lang w:bidi="he-IL"/>
        </w:rPr>
      </w:pPr>
      <w:r w:rsidRPr="00433002">
        <w:rPr>
          <w:rFonts w:hint="cs"/>
          <w:b/>
          <w:bCs/>
          <w:rtl/>
          <w:lang w:bidi="he-IL"/>
        </w:rPr>
        <w:t>ריטב"א</w:t>
      </w:r>
      <w:r>
        <w:rPr>
          <w:rFonts w:hint="cs"/>
          <w:b/>
          <w:bCs/>
          <w:rtl/>
          <w:lang w:bidi="he-IL"/>
        </w:rPr>
        <w:t xml:space="preserve"> </w:t>
      </w:r>
      <w:r w:rsidRPr="00433002">
        <w:rPr>
          <w:rFonts w:hint="cs"/>
          <w:rtl/>
          <w:lang w:bidi="he-IL"/>
        </w:rPr>
        <w:t>שם</w:t>
      </w:r>
      <w:r>
        <w:rPr>
          <w:rFonts w:hint="cs"/>
          <w:rtl/>
          <w:lang w:bidi="he-IL"/>
        </w:rPr>
        <w:t xml:space="preserve"> (ד"ה </w:t>
      </w:r>
      <w:r w:rsidRPr="00433002">
        <w:rPr>
          <w:rFonts w:hint="cs"/>
          <w:rtl/>
          <w:lang w:bidi="he-IL"/>
        </w:rPr>
        <w:t>שאין קטיגור</w:t>
      </w:r>
      <w:r>
        <w:rPr>
          <w:rFonts w:hint="cs"/>
          <w:rtl/>
          <w:lang w:bidi="he-IL"/>
        </w:rPr>
        <w:t>)</w:t>
      </w:r>
    </w:p>
    <w:p w14:paraId="7C848C40" w14:textId="1A58B516" w:rsidR="00225FA0" w:rsidRDefault="00225FA0" w:rsidP="00433002">
      <w:pPr>
        <w:jc w:val="right"/>
        <w:rPr>
          <w:rtl/>
          <w:lang w:bidi="he-IL"/>
        </w:rPr>
      </w:pPr>
      <w:r w:rsidRPr="00225FA0">
        <w:rPr>
          <w:rFonts w:hint="cs"/>
          <w:b/>
          <w:bCs/>
          <w:rtl/>
          <w:lang w:bidi="he-IL"/>
        </w:rPr>
        <w:t>ריטב"א</w:t>
      </w:r>
      <w:r>
        <w:rPr>
          <w:rFonts w:hint="cs"/>
          <w:rtl/>
          <w:lang w:bidi="he-IL"/>
        </w:rPr>
        <w:t xml:space="preserve"> לד. (ד"ה והנכון)</w:t>
      </w:r>
      <w:r w:rsidR="00266DC6">
        <w:rPr>
          <w:rFonts w:hint="cs"/>
          <w:rtl/>
          <w:lang w:bidi="he-IL"/>
        </w:rPr>
        <w:t>*</w:t>
      </w:r>
    </w:p>
    <w:p w14:paraId="0AF4BFA1" w14:textId="6812CE2A" w:rsidR="00225FA0" w:rsidRDefault="00225FA0" w:rsidP="00433002">
      <w:pPr>
        <w:jc w:val="right"/>
        <w:rPr>
          <w:rFonts w:cs="Arial"/>
          <w:rtl/>
          <w:lang w:bidi="he-IL"/>
        </w:rPr>
      </w:pPr>
      <w:r w:rsidRPr="00225FA0">
        <w:rPr>
          <w:rFonts w:hint="cs"/>
          <w:b/>
          <w:bCs/>
          <w:rtl/>
          <w:lang w:bidi="he-IL"/>
        </w:rPr>
        <w:t>יום תרועה</w:t>
      </w:r>
      <w:r>
        <w:rPr>
          <w:rFonts w:hint="cs"/>
          <w:b/>
          <w:bCs/>
          <w:rtl/>
          <w:lang w:bidi="he-IL"/>
        </w:rPr>
        <w:t xml:space="preserve"> </w:t>
      </w:r>
      <w:r w:rsidRPr="00225FA0">
        <w:rPr>
          <w:rFonts w:hint="cs"/>
          <w:rtl/>
          <w:lang w:bidi="he-IL"/>
        </w:rPr>
        <w:t>כו.</w:t>
      </w:r>
      <w:r>
        <w:rPr>
          <w:rFonts w:hint="cs"/>
          <w:rtl/>
          <w:lang w:bidi="he-IL"/>
        </w:rPr>
        <w:t xml:space="preserve"> (ד"ה </w:t>
      </w:r>
      <w:r>
        <w:rPr>
          <w:rFonts w:cs="Arial"/>
          <w:rtl/>
          <w:lang w:bidi="he-IL"/>
        </w:rPr>
        <w:t>רש"י כיון</w:t>
      </w:r>
      <w:r>
        <w:rPr>
          <w:rFonts w:cs="Arial" w:hint="cs"/>
          <w:rtl/>
          <w:lang w:bidi="he-IL"/>
        </w:rPr>
        <w:t>)</w:t>
      </w:r>
      <w:r w:rsidR="00266DC6">
        <w:rPr>
          <w:rFonts w:cs="Arial" w:hint="cs"/>
          <w:rtl/>
          <w:lang w:bidi="he-IL"/>
        </w:rPr>
        <w:t>*</w:t>
      </w:r>
    </w:p>
    <w:p w14:paraId="7D31CEB9" w14:textId="35E50952" w:rsidR="00A61F35" w:rsidRDefault="00A61F35" w:rsidP="00A61F35">
      <w:pPr>
        <w:jc w:val="right"/>
        <w:rPr>
          <w:rFonts w:cs="Arial"/>
          <w:lang w:bidi="he-IL"/>
        </w:rPr>
      </w:pPr>
      <w:r w:rsidRPr="00A61F35">
        <w:rPr>
          <w:rFonts w:cs="Arial"/>
          <w:b/>
          <w:bCs/>
          <w:rtl/>
          <w:lang w:bidi="he-IL"/>
        </w:rPr>
        <w:t>טורי אבן</w:t>
      </w:r>
      <w:r w:rsidRPr="00A61F35">
        <w:rPr>
          <w:rFonts w:cs="Arial"/>
          <w:rtl/>
          <w:lang w:bidi="he-IL"/>
        </w:rPr>
        <w:t xml:space="preserve"> </w:t>
      </w:r>
      <w:r>
        <w:rPr>
          <w:rFonts w:cs="Arial" w:hint="cs"/>
          <w:rtl/>
          <w:lang w:bidi="he-IL"/>
        </w:rPr>
        <w:t>שם (ד"ה האי שופר)</w:t>
      </w:r>
      <w:r w:rsidR="00266DC6">
        <w:rPr>
          <w:rFonts w:cs="Arial" w:hint="cs"/>
          <w:rtl/>
          <w:lang w:bidi="he-IL"/>
        </w:rPr>
        <w:t>*</w:t>
      </w:r>
    </w:p>
    <w:p w14:paraId="2EA37272" w14:textId="3AAB0CAA" w:rsidR="00EB6B95" w:rsidRDefault="00EB6B95" w:rsidP="00A61F35">
      <w:pPr>
        <w:jc w:val="right"/>
        <w:rPr>
          <w:rFonts w:cs="Arial"/>
          <w:rtl/>
          <w:lang w:bidi="he-IL"/>
        </w:rPr>
      </w:pPr>
      <w:r w:rsidRPr="00EB6B95">
        <w:rPr>
          <w:rFonts w:cs="Arial" w:hint="cs"/>
          <w:b/>
          <w:bCs/>
          <w:rtl/>
          <w:lang w:bidi="he-IL"/>
        </w:rPr>
        <w:t>ויקרא</w:t>
      </w:r>
      <w:r>
        <w:rPr>
          <w:rFonts w:cs="Arial" w:hint="cs"/>
          <w:rtl/>
          <w:lang w:bidi="he-IL"/>
        </w:rPr>
        <w:t xml:space="preserve"> כ"ג:כ"ד, </w:t>
      </w:r>
      <w:r w:rsidRPr="00EB6B95">
        <w:rPr>
          <w:rFonts w:cs="Arial" w:hint="cs"/>
          <w:b/>
          <w:bCs/>
          <w:rtl/>
          <w:lang w:bidi="he-IL"/>
        </w:rPr>
        <w:t>במדבר</w:t>
      </w:r>
      <w:r>
        <w:rPr>
          <w:rFonts w:cs="Arial" w:hint="cs"/>
          <w:rtl/>
          <w:lang w:bidi="he-IL"/>
        </w:rPr>
        <w:t xml:space="preserve"> י':ט'-י'</w:t>
      </w:r>
    </w:p>
    <w:p w14:paraId="7446D2AB" w14:textId="4D5E2AB6" w:rsidR="00EB6B95" w:rsidRDefault="00EB6B95" w:rsidP="00EB6B95">
      <w:pPr>
        <w:jc w:val="right"/>
        <w:rPr>
          <w:rtl/>
          <w:lang w:bidi="he-IL"/>
        </w:rPr>
      </w:pPr>
      <w:r w:rsidRPr="004D5FD5">
        <w:rPr>
          <w:rFonts w:hint="cs"/>
          <w:b/>
          <w:bCs/>
          <w:rtl/>
          <w:lang w:bidi="he-IL"/>
        </w:rPr>
        <w:t>ספר המצות לרמב"ם</w:t>
      </w:r>
      <w:r>
        <w:rPr>
          <w:rFonts w:hint="cs"/>
          <w:rtl/>
          <w:lang w:bidi="he-IL"/>
        </w:rPr>
        <w:t xml:space="preserve"> (מצות עשה ק</w:t>
      </w:r>
      <w:r>
        <w:rPr>
          <w:rFonts w:hint="cs"/>
          <w:rtl/>
          <w:lang w:bidi="he-IL"/>
        </w:rPr>
        <w:t>ל"ז</w:t>
      </w:r>
      <w:r>
        <w:rPr>
          <w:rFonts w:hint="cs"/>
          <w:rtl/>
          <w:lang w:bidi="he-IL"/>
        </w:rPr>
        <w:t>)</w:t>
      </w:r>
      <w:r>
        <w:rPr>
          <w:rFonts w:hint="cs"/>
          <w:rtl/>
          <w:lang w:bidi="he-IL"/>
        </w:rPr>
        <w:t>*</w:t>
      </w:r>
    </w:p>
    <w:p w14:paraId="50332668" w14:textId="03753401" w:rsidR="00266DC6" w:rsidRPr="00A61F35" w:rsidRDefault="00266DC6" w:rsidP="00A61F35">
      <w:pPr>
        <w:jc w:val="right"/>
        <w:rPr>
          <w:rFonts w:hint="cs"/>
          <w:rtl/>
        </w:rPr>
      </w:pPr>
      <w:r w:rsidRPr="000C45A6">
        <w:rPr>
          <w:rFonts w:cs="Arial" w:hint="cs"/>
          <w:b/>
          <w:bCs/>
          <w:rtl/>
          <w:lang w:bidi="he-IL"/>
        </w:rPr>
        <w:t>אגרות הגרי"ד</w:t>
      </w:r>
      <w:r w:rsidRPr="000C45A6">
        <w:rPr>
          <w:rFonts w:cs="Arial" w:hint="cs"/>
          <w:rtl/>
          <w:lang w:bidi="he-IL"/>
        </w:rPr>
        <w:t xml:space="preserve"> הל' שופר (א:ב)*</w:t>
      </w:r>
      <w:r w:rsidR="000C45A6" w:rsidRPr="000C45A6">
        <w:rPr>
          <w:rFonts w:cs="Arial" w:hint="cs"/>
          <w:rtl/>
          <w:lang w:bidi="he-IL"/>
        </w:rPr>
        <w:t>**</w:t>
      </w:r>
    </w:p>
    <w:p w14:paraId="6307E56B" w14:textId="497507E1" w:rsidR="00225FA0" w:rsidRDefault="00225FA0" w:rsidP="00266DC6">
      <w:pPr>
        <w:rPr>
          <w:rtl/>
          <w:lang w:bidi="he-IL"/>
        </w:rPr>
      </w:pPr>
    </w:p>
    <w:p w14:paraId="29BC2E7D" w14:textId="77777777" w:rsidR="00EB6B95" w:rsidRDefault="00EB6B95" w:rsidP="00266DC6">
      <w:pPr>
        <w:rPr>
          <w:rtl/>
          <w:lang w:bidi="he-IL"/>
        </w:rPr>
      </w:pPr>
    </w:p>
    <w:p w14:paraId="2A824F0B" w14:textId="77777777" w:rsidR="00225FA0" w:rsidRPr="00225FA0" w:rsidRDefault="00225FA0" w:rsidP="00225FA0">
      <w:pPr>
        <w:jc w:val="right"/>
        <w:rPr>
          <w:u w:val="single"/>
        </w:rPr>
      </w:pPr>
      <w:r w:rsidRPr="00225FA0">
        <w:rPr>
          <w:rFonts w:cs="Arial"/>
          <w:u w:val="single"/>
          <w:rtl/>
          <w:lang w:bidi="he-IL"/>
        </w:rPr>
        <w:t>תוספות רי"ד מסכת ראש השנה דף כו עמוד א</w:t>
      </w:r>
    </w:p>
    <w:p w14:paraId="332A689A" w14:textId="69519A25" w:rsidR="00225FA0" w:rsidRDefault="00225FA0" w:rsidP="00225FA0">
      <w:pPr>
        <w:jc w:val="right"/>
        <w:rPr>
          <w:rtl/>
          <w:lang w:bidi="he-IL"/>
        </w:rPr>
      </w:pPr>
      <w:r>
        <w:rPr>
          <w:rFonts w:cs="Arial"/>
          <w:rtl/>
          <w:lang w:bidi="he-IL"/>
        </w:rPr>
        <w:t>חוטא בל יתנאה קאמרי' פי' ושופר נמי בל יתנאה הוא שהרי הוא מראה כחו וחכמתו בתקיעתו שהוא יודע לתוקעו יפה ובחזקה</w:t>
      </w:r>
      <w:r>
        <w:rPr>
          <w:rFonts w:cs="Arial" w:hint="cs"/>
          <w:rtl/>
          <w:lang w:bidi="he-IL"/>
        </w:rPr>
        <w:t>:</w:t>
      </w:r>
    </w:p>
    <w:p w14:paraId="28B82B79" w14:textId="77777777" w:rsidR="00225FA0" w:rsidRPr="00225FA0" w:rsidRDefault="00225FA0" w:rsidP="00225FA0">
      <w:pPr>
        <w:jc w:val="right"/>
        <w:rPr>
          <w:u w:val="single"/>
        </w:rPr>
      </w:pPr>
      <w:r w:rsidRPr="00225FA0">
        <w:rPr>
          <w:rFonts w:cs="Arial"/>
          <w:u w:val="single"/>
          <w:rtl/>
          <w:lang w:bidi="he-IL"/>
        </w:rPr>
        <w:t>חידושי הריטב"א מסכת ראש השנה דף לד עמוד א</w:t>
      </w:r>
    </w:p>
    <w:p w14:paraId="24A9A7EB" w14:textId="12697152" w:rsidR="00225FA0" w:rsidRDefault="00225FA0" w:rsidP="00225FA0">
      <w:pPr>
        <w:jc w:val="right"/>
        <w:rPr>
          <w:rFonts w:cs="Arial"/>
          <w:rtl/>
          <w:lang w:bidi="he-IL"/>
        </w:rPr>
      </w:pPr>
      <w:r w:rsidRPr="00225FA0">
        <w:rPr>
          <w:rFonts w:cs="Arial"/>
          <w:rtl/>
          <w:lang w:bidi="he-IL"/>
        </w:rPr>
        <w:t>והנכון בזה דמדינא הרי יצאנו ידי חובת מצות שופר בתקיעות דמיושב ואין תקיעות שעל סדר ברכות באות לחובת מצות שופר אלא לחובת תפלה בצבור להעלות תפלה בתרועה כענין בתעניות שתוקעין על ז' ברכות דמי שענה כדי להעלות (תקיעה) [תפלה] בשופר</w:t>
      </w:r>
      <w:r>
        <w:rPr>
          <w:rFonts w:cs="Arial" w:hint="cs"/>
          <w:rtl/>
          <w:lang w:bidi="he-IL"/>
        </w:rPr>
        <w:t>.</w:t>
      </w:r>
    </w:p>
    <w:p w14:paraId="47C1C6F8" w14:textId="77777777" w:rsidR="00225FA0" w:rsidRPr="00225FA0" w:rsidRDefault="00225FA0" w:rsidP="00225FA0">
      <w:pPr>
        <w:jc w:val="right"/>
        <w:rPr>
          <w:u w:val="single"/>
        </w:rPr>
      </w:pPr>
      <w:r w:rsidRPr="00225FA0">
        <w:rPr>
          <w:rFonts w:cs="Arial"/>
          <w:u w:val="single"/>
          <w:rtl/>
          <w:lang w:bidi="he-IL"/>
        </w:rPr>
        <w:t>יום תרועה מסכת ראש השנה דף כו עמוד א</w:t>
      </w:r>
    </w:p>
    <w:p w14:paraId="722D1DF8" w14:textId="3A6134F4" w:rsidR="00225FA0" w:rsidRDefault="00225FA0" w:rsidP="00225FA0">
      <w:pPr>
        <w:jc w:val="right"/>
        <w:rPr>
          <w:rFonts w:cs="Arial"/>
          <w:rtl/>
          <w:lang w:bidi="he-IL"/>
        </w:rPr>
      </w:pPr>
      <w:r>
        <w:rPr>
          <w:rFonts w:cs="Arial"/>
          <w:rtl/>
          <w:lang w:bidi="he-IL"/>
        </w:rPr>
        <w:t>רש"י כיון דלזכרון קא אתי כלפנים דמי שופר נמי אף על גב דלית ביה משום חוטא בל יקריב ולית בה משום חוטא בל יתגאה כיון דלזכרון קא אתי כבגדי כ"ג דלפנים דמי ע"כ. ולכאו' הוא תמוה דמשמע מדבריו דלכולהו שינויי הוה ק"ל משופר משום דלא חשיב לי' תקיעת שופר כקרבן וגם לא חשיב לי' הנאה מה שמתגאה בקול תקיעתו ומלשון הגמ' משמע בהדיא דלא פריך אלא אשינוייא בתרא דמחלק בין פנים לחוץ ופריך שופר נמי מבחוץ וצ"ל דרש"י נמי ה"ק שופר נמי מבחוץ הוא ר"ל ובחוץ לית בי' משום חוטא בל יקריב דהא מקריבי' נמי פרים בחוץ במוספי' וכ"ש דיכול לתקוע בקרן פרה וגם לית ביה משום חוטא בל יתגאה דהא כ"ג לובש בגדי זהב בחוץ אבל כיון דלזכרון קא אתי כבפנים דמי ואין קנ"ס אי משום חוטא בל יקריב ואי משום חוטא בל יתגאה וגבי שופר מתגאה בקול תקיעתו וגם חשיבי כקרבן</w:t>
      </w:r>
      <w:r>
        <w:rPr>
          <w:rFonts w:cs="Arial" w:hint="cs"/>
          <w:rtl/>
          <w:lang w:bidi="he-IL"/>
        </w:rPr>
        <w:t>:</w:t>
      </w:r>
    </w:p>
    <w:p w14:paraId="7648B11F" w14:textId="77777777" w:rsidR="00A61F35" w:rsidRPr="00A61F35" w:rsidRDefault="00A61F35" w:rsidP="00A61F35">
      <w:pPr>
        <w:jc w:val="right"/>
        <w:rPr>
          <w:u w:val="single"/>
        </w:rPr>
      </w:pPr>
      <w:r w:rsidRPr="00A61F35">
        <w:rPr>
          <w:rFonts w:cs="Arial"/>
          <w:u w:val="single"/>
          <w:rtl/>
          <w:lang w:bidi="he-IL"/>
        </w:rPr>
        <w:lastRenderedPageBreak/>
        <w:t>טורי אבן מסכת ראש השנה דף כו עמוד א</w:t>
      </w:r>
    </w:p>
    <w:p w14:paraId="3E394989" w14:textId="309970A5" w:rsidR="00A61F35" w:rsidRDefault="00A61F35" w:rsidP="00266DC6">
      <w:pPr>
        <w:ind w:left="-180"/>
        <w:jc w:val="right"/>
        <w:rPr>
          <w:rFonts w:cs="Arial"/>
          <w:rtl/>
          <w:lang w:bidi="he-IL"/>
        </w:rPr>
      </w:pPr>
      <w:r>
        <w:rPr>
          <w:rFonts w:cs="Arial"/>
          <w:rtl/>
          <w:lang w:bidi="he-IL"/>
        </w:rPr>
        <w:t>והא שופר כיון דלזכרון אתי. נ"ל דהאי זכרון לאו זכרון דעקידת יצחק קאמר דהא קאמר בפ"ק (ד' ט"ז) למה תוקעין בשופר של איל לזכור עקידת יצחק מכלל דתקיעת שאר שופרות לאו משום ה"ט הוא אלא משום שיעלו זכרוניכם לטובה ובמה בשופר כדאמר התם וכל שופרו' קיימי לזכרון. אלא לזכרון דקאמר היינו כדכתיב ובמועדיכם ובראשי חדשיכם ותקעתם בחצוצרות וגו' והיו לכם לזכרון, והיינו דאמר בספ"ג דעירובין (דף מ) מהו להזכיר של ר"ח בר"ה או דילמא זכרון א' עולה לכאן ולכאן. ואפשר לומר כיון דבר"ה איכא ב' זכרונות של ר"ח ושל ר"ה דאיהו בכלל מועדיכ' הוסיף רחמנ' זכרון א' יותר משאר ר"ח ומועדו' שאינן אלא בחצוצרו' ובמקדש על הקרבן ובר"ה של שופר אפי' בגבולין והיינו זכרון של שופר, ולפ"ז א"צ למאי דפי' בפ"ק (דף ט"ז) אליבא דר"י דאמר התם אדם נידון בכל יום</w:t>
      </w:r>
      <w:r w:rsidR="00266DC6">
        <w:rPr>
          <w:rFonts w:cs="Arial" w:hint="cs"/>
          <w:rtl/>
          <w:lang w:bidi="he-IL"/>
        </w:rPr>
        <w:t>:</w:t>
      </w:r>
    </w:p>
    <w:p w14:paraId="6690C771" w14:textId="77777777" w:rsidR="00EB6B95" w:rsidRPr="00EB6B95" w:rsidRDefault="00EB6B95" w:rsidP="00EB6B95">
      <w:pPr>
        <w:ind w:left="-180"/>
        <w:jc w:val="right"/>
        <w:rPr>
          <w:u w:val="single"/>
        </w:rPr>
      </w:pPr>
      <w:r w:rsidRPr="00EB6B95">
        <w:rPr>
          <w:rFonts w:cs="Arial"/>
          <w:u w:val="single"/>
          <w:rtl/>
          <w:lang w:bidi="he-IL"/>
        </w:rPr>
        <w:t>ספר המצוות לרמב"ם מצות עשה קלז</w:t>
      </w:r>
    </w:p>
    <w:p w14:paraId="09832C55" w14:textId="25C91CF3" w:rsidR="00EB6B95" w:rsidRPr="00225FA0" w:rsidRDefault="00EB6B95" w:rsidP="00EB6B95">
      <w:pPr>
        <w:ind w:left="-180"/>
        <w:jc w:val="right"/>
        <w:rPr>
          <w:rFonts w:hint="cs"/>
          <w:rtl/>
          <w:lang w:bidi="he-IL"/>
        </w:rPr>
      </w:pPr>
      <w:r>
        <w:rPr>
          <w:rFonts w:cs="Arial"/>
          <w:rtl/>
          <w:lang w:bidi="he-IL"/>
        </w:rPr>
        <w:t>והמצוה הקל"ז היא שצונו לתקוע בשופר בעשירי מתשרי משנה זו ולקרא בכל ארצותינו דרור לעבדים ולצאת כל עבד עברי לחרות בלי פדיון ביום הזה כלומר העשירי מתשרי. והוא אמרו ית' (בהר ט) והעברת שופר תרועה בחדש השביעי בעשור לחדש ביום הכיפורים תעבירו שופר בכל ארצכם ואמר וקראתם דרור בארץ לכל יושביה. הנה התבאר (מתני' ר"ה כו ב) ששוה היובל לראש השנה לתקיעה ולברכות. וכבר התבארו משפטי תקיעות שופר בראש השנה במסכת ראש השנה (עמ"ע קע וש"נ). וידוע שהתקיעה הזאת ביובל אמנם היא לפרסם החרות ושהוא מין מן ההכרזה והוא אמרו וקראתם דרור. ואין ענינה ענין תקיעת ראש השנה כי היא זכרון לפני י"י (אמור כג) וזו להוציא את העבדים כמו שבארנו</w:t>
      </w:r>
      <w:r>
        <w:rPr>
          <w:rFonts w:hint="cs"/>
          <w:rtl/>
          <w:lang w:bidi="he-IL"/>
        </w:rPr>
        <w:t>:</w:t>
      </w:r>
    </w:p>
    <w:p w14:paraId="11914992" w14:textId="77777777" w:rsidR="0010470B" w:rsidRDefault="0010470B" w:rsidP="0010470B">
      <w:pPr>
        <w:jc w:val="right"/>
        <w:rPr>
          <w:rtl/>
          <w:lang w:bidi="he-IL"/>
        </w:rPr>
      </w:pPr>
    </w:p>
    <w:p w14:paraId="6D9E3718" w14:textId="77777777" w:rsidR="0010470B" w:rsidRDefault="0010470B" w:rsidP="0010470B">
      <w:pPr>
        <w:jc w:val="right"/>
        <w:rPr>
          <w:lang w:bidi="he-IL"/>
        </w:rPr>
      </w:pPr>
    </w:p>
    <w:sectPr w:rsidR="00104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DE2B" w14:textId="77777777" w:rsidR="00382B58" w:rsidRDefault="00382B58" w:rsidP="0010470B">
      <w:pPr>
        <w:spacing w:after="0" w:line="240" w:lineRule="auto"/>
      </w:pPr>
      <w:r>
        <w:separator/>
      </w:r>
    </w:p>
  </w:endnote>
  <w:endnote w:type="continuationSeparator" w:id="0">
    <w:p w14:paraId="1FB5DE06" w14:textId="77777777" w:rsidR="00382B58" w:rsidRDefault="00382B58" w:rsidP="0010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4136" w14:textId="77777777" w:rsidR="00382B58" w:rsidRDefault="00382B58" w:rsidP="0010470B">
      <w:pPr>
        <w:spacing w:after="0" w:line="240" w:lineRule="auto"/>
      </w:pPr>
      <w:r>
        <w:separator/>
      </w:r>
    </w:p>
  </w:footnote>
  <w:footnote w:type="continuationSeparator" w:id="0">
    <w:p w14:paraId="54A58978" w14:textId="77777777" w:rsidR="00382B58" w:rsidRDefault="00382B58" w:rsidP="0010470B">
      <w:pPr>
        <w:spacing w:after="0" w:line="240" w:lineRule="auto"/>
      </w:pPr>
      <w:r>
        <w:continuationSeparator/>
      </w:r>
    </w:p>
  </w:footnote>
  <w:footnote w:id="1">
    <w:p w14:paraId="6A2509C7" w14:textId="654F7FC1" w:rsidR="00266DC6" w:rsidRPr="00266DC6" w:rsidRDefault="00266DC6">
      <w:pPr>
        <w:pStyle w:val="FootnoteText"/>
        <w:rPr>
          <w:sz w:val="16"/>
          <w:szCs w:val="16"/>
          <w:lang w:bidi="he-IL"/>
        </w:rPr>
      </w:pPr>
      <w:r w:rsidRPr="00266DC6">
        <w:rPr>
          <w:rStyle w:val="FootnoteReference"/>
          <w:sz w:val="16"/>
          <w:szCs w:val="16"/>
        </w:rPr>
        <w:footnoteRef/>
      </w:r>
      <w:r w:rsidRPr="00266DC6">
        <w:rPr>
          <w:sz w:val="16"/>
          <w:szCs w:val="16"/>
        </w:rPr>
        <w:t xml:space="preserve"> </w:t>
      </w:r>
      <w:r w:rsidRPr="00266DC6">
        <w:rPr>
          <w:sz w:val="16"/>
          <w:szCs w:val="16"/>
          <w:lang w:bidi="he-IL"/>
        </w:rPr>
        <w:t xml:space="preserve">Any mekor with </w:t>
      </w:r>
      <w:r w:rsidRPr="00266DC6">
        <w:rPr>
          <w:rFonts w:hint="cs"/>
          <w:sz w:val="16"/>
          <w:szCs w:val="16"/>
          <w:rtl/>
          <w:lang w:bidi="he-IL"/>
        </w:rPr>
        <w:t>*</w:t>
      </w:r>
      <w:r w:rsidRPr="00266DC6">
        <w:rPr>
          <w:sz w:val="16"/>
          <w:szCs w:val="16"/>
          <w:lang w:bidi="he-IL"/>
        </w:rPr>
        <w:t xml:space="preserve"> can be found below</w:t>
      </w:r>
      <w:r w:rsidR="000C45A6">
        <w:rPr>
          <w:sz w:val="16"/>
          <w:szCs w:val="16"/>
          <w:lang w:bidi="he-IL"/>
        </w:rPr>
        <w:t xml:space="preserve">.  Any mekor with *** can be found on the WhatsApp group.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0B"/>
    <w:rsid w:val="000C45A6"/>
    <w:rsid w:val="0010470B"/>
    <w:rsid w:val="00225FA0"/>
    <w:rsid w:val="00266DC6"/>
    <w:rsid w:val="00382B58"/>
    <w:rsid w:val="00433002"/>
    <w:rsid w:val="008A1AE2"/>
    <w:rsid w:val="00A46F84"/>
    <w:rsid w:val="00A61F35"/>
    <w:rsid w:val="00CD3B51"/>
    <w:rsid w:val="00E23C8F"/>
    <w:rsid w:val="00EB6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44D0"/>
  <w15:chartTrackingRefBased/>
  <w15:docId w15:val="{514DFFDA-76BC-4BD4-B483-56711D4C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470B"/>
    <w:pPr>
      <w:spacing w:after="0" w:line="240" w:lineRule="auto"/>
    </w:pPr>
    <w:rPr>
      <w:sz w:val="20"/>
      <w:szCs w:val="20"/>
    </w:rPr>
  </w:style>
  <w:style w:type="character" w:customStyle="1" w:styleId="FootnoteTextChar">
    <w:name w:val="Footnote Text Char"/>
    <w:basedOn w:val="DefaultParagraphFont"/>
    <w:link w:val="FootnoteText"/>
    <w:uiPriority w:val="99"/>
    <w:rsid w:val="0010470B"/>
    <w:rPr>
      <w:sz w:val="20"/>
      <w:szCs w:val="20"/>
    </w:rPr>
  </w:style>
  <w:style w:type="character" w:styleId="FootnoteReference">
    <w:name w:val="footnote reference"/>
    <w:basedOn w:val="DefaultParagraphFont"/>
    <w:uiPriority w:val="99"/>
    <w:semiHidden/>
    <w:unhideWhenUsed/>
    <w:rsid w:val="00104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2021-07-05T19:07:00Z</dcterms:created>
  <dcterms:modified xsi:type="dcterms:W3CDTF">2021-07-06T01:49:00Z</dcterms:modified>
</cp:coreProperties>
</file>