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Chol HaMoed: Isur Melacha or Isur Tircha?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המודעי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והמלבין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אברהם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עובדיה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מברטנורא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והמבזה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באכילה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ושתיה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חגיגה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, ….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יאשיה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ולאחריהן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ולאחריהן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…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';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בראשון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בשביעי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ללמדך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אידך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 ...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עצרת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לחכמים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זהלכה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חולו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ונקרא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חגיגה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האסורה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שאיסורו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סופרים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קרן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firstLine="0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ולענ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המקובלים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סופרים</w:t>
      </w:r>
      <w:r w:rsidDel="00000000" w:rsidR="00000000" w:rsidRPr="00000000">
        <w:rPr>
          <w:sz w:val="24"/>
          <w:szCs w:val="24"/>
          <w:rtl w:val="1"/>
        </w:rPr>
        <w:t xml:space="preserve">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מגיד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הדיוט</w:t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שיתבאר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רדב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תשכז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שאלת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-</w:t>
      </w:r>
      <w:r w:rsidDel="00000000" w:rsidR="00000000" w:rsidRPr="00000000">
        <w:rPr>
          <w:sz w:val="24"/>
          <w:szCs w:val="24"/>
          <w:rtl w:val="1"/>
        </w:rPr>
        <w:t xml:space="preserve">מלאכות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אסורים</w:t>
      </w:r>
      <w:r w:rsidDel="00000000" w:rsidR="00000000" w:rsidRPr="00000000">
        <w:rPr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תשובה</w:t>
      </w:r>
      <w:r w:rsidDel="00000000" w:rsidR="00000000" w:rsidRPr="00000000">
        <w:rPr>
          <w:b w:val="1"/>
          <w:sz w:val="24"/>
          <w:szCs w:val="24"/>
          <w:rtl w:val="1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דרבוותא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-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האומרים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בחול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המועד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המלאכות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תדיר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[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Tircha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Uvdda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'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chol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work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related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]...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..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שהמלאכות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בחול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המועד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להחמיר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תדיר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והריגת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מצערים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להרגן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להבריחם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ובשביעית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ממעיין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הגשמים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firstLine="0"/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משקין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השלחין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במועד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שדה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עומדת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בהר</w:t>
      </w:r>
      <w:r w:rsidDel="00000000" w:rsidR="00000000" w:rsidRPr="00000000">
        <w:rPr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rtl w:val="1"/>
        </w:rPr>
        <w:t xml:space="preserve">וצריך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להשקותה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תמיד</w:t>
      </w:r>
      <w:r w:rsidDel="00000000" w:rsidR="00000000" w:rsidRPr="00000000">
        <w:rPr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משקין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אותה</w:t>
      </w:r>
      <w:r w:rsidDel="00000000" w:rsidR="00000000" w:rsidRPr="00000000">
        <w:rPr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אפילו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בחולו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לפי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הפסד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גדול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אם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משקה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אותה</w:t>
      </w:r>
      <w:r w:rsidDel="00000000" w:rsidR="00000000" w:rsidRPr="00000000">
        <w:rPr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rtl w:val="1"/>
        </w:rPr>
        <w:t xml:space="preserve">ודבר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הפסד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התירו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חכמים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לטרוח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בחולו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i w:val="1"/>
          <w:sz w:val="24"/>
          <w:szCs w:val="24"/>
          <w:rtl w:val="1"/>
        </w:rPr>
        <w:t xml:space="preserve">…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firstLine="0"/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1"/>
        </w:rPr>
        <w:t xml:space="preserve">דכתיב</w:t>
      </w:r>
      <w:r w:rsidDel="00000000" w:rsidR="00000000" w:rsidRPr="00000000">
        <w:rPr>
          <w:i w:val="1"/>
          <w:sz w:val="24"/>
          <w:szCs w:val="24"/>
          <w:rtl w:val="1"/>
        </w:rPr>
        <w:t xml:space="preserve">: ...</w:t>
      </w:r>
      <w:r w:rsidDel="00000000" w:rsidR="00000000" w:rsidRPr="00000000">
        <w:rPr>
          <w:i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i w:val="1"/>
          <w:sz w:val="24"/>
          <w:szCs w:val="24"/>
          <w:rtl w:val="1"/>
        </w:rPr>
        <w:t xml:space="preserve">: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השביעי</w:t>
      </w:r>
      <w:r w:rsidDel="00000000" w:rsidR="00000000" w:rsidRPr="00000000">
        <w:rPr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שביעי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עצור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rtl w:val="1"/>
        </w:rPr>
        <w:t xml:space="preserve">ואין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ששה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עצורין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מסרן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הכתוב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לחכמים</w:t>
      </w:r>
      <w:r w:rsidDel="00000000" w:rsidR="00000000" w:rsidRPr="00000000">
        <w:rPr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לך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איזו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אסורה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בחולו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ואי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זו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מותרת</w:t>
      </w:r>
      <w:r w:rsidDel="00000000" w:rsidR="00000000" w:rsidRPr="00000000">
        <w:rPr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rtl w:val="1"/>
        </w:rPr>
        <w:t xml:space="preserve">ומלאכה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הפסד</w:t>
      </w:r>
      <w:r w:rsidDel="00000000" w:rsidR="00000000" w:rsidRPr="00000000">
        <w:rPr>
          <w:i w:val="1"/>
          <w:sz w:val="24"/>
          <w:szCs w:val="24"/>
          <w:rtl w:val="1"/>
        </w:rPr>
        <w:t xml:space="preserve">..., </w:t>
      </w:r>
      <w:r w:rsidDel="00000000" w:rsidR="00000000" w:rsidRPr="00000000">
        <w:rPr>
          <w:i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להשקות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השלחין</w:t>
      </w:r>
      <w:r w:rsidDel="00000000" w:rsidR="00000000" w:rsidRPr="00000000">
        <w:rPr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התירו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חכמים</w:t>
      </w:r>
      <w:r w:rsidDel="00000000" w:rsidR="00000000" w:rsidRPr="00000000">
        <w:rPr>
          <w:i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טירחא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1"/>
        </w:rPr>
        <w:t xml:space="preserve">בשלמא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הכי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אסיר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בשום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1"/>
        </w:rPr>
        <w:t xml:space="preserve">טירחא</w:t>
      </w:r>
      <w:r w:rsidDel="00000000" w:rsidR="00000000" w:rsidRPr="00000000">
        <w:rPr>
          <w:i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1"/>
        </w:rPr>
        <w:t xml:space="preserve">וכל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מקום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פסידא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שרו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רבנן</w:t>
      </w:r>
      <w:r w:rsidDel="00000000" w:rsidR="00000000" w:rsidRPr="00000000">
        <w:rPr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למיטרח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בחולו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במקום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פסידא</w:t>
      </w:r>
      <w:r w:rsidDel="00000000" w:rsidR="00000000" w:rsidRPr="00000000">
        <w:rPr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rtl w:val="1"/>
        </w:rPr>
        <w:t xml:space="preserve">כדפרשינן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לעיל</w:t>
      </w:r>
      <w:r w:rsidDel="00000000" w:rsidR="00000000" w:rsidRPr="00000000">
        <w:rPr>
          <w:i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בחגך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בחגך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באשתך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left="72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1"/>
        </w:rPr>
        <w:t xml:space="preserve">מפני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הטורח</w:t>
      </w:r>
      <w:r w:rsidDel="00000000" w:rsidR="00000000" w:rsidRPr="00000000">
        <w:rPr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ליטרח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לצורך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נישואין</w:t>
      </w:r>
      <w:r w:rsidDel="00000000" w:rsidR="00000000" w:rsidRPr="00000000">
        <w:rPr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i w:val="1"/>
          <w:sz w:val="24"/>
          <w:szCs w:val="24"/>
          <w:rtl w:val="1"/>
        </w:rPr>
        <w:t xml:space="preserve">וטירחא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במועד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i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re- a teetering wall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4"/>
          <w:szCs w:val="24"/>
          <w:rtl w:val="1"/>
        </w:rPr>
        <w:t xml:space="preserve">(</w:t>
      </w:r>
      <w:r w:rsidDel="00000000" w:rsidR="00000000" w:rsidRPr="00000000">
        <w:rPr>
          <w:i w:val="1"/>
          <w:sz w:val="24"/>
          <w:szCs w:val="24"/>
          <w:rtl w:val="1"/>
        </w:rPr>
        <w:t xml:space="preserve">דניסן</w:t>
      </w:r>
      <w:r w:rsidDel="00000000" w:rsidR="00000000" w:rsidRPr="00000000">
        <w:rPr>
          <w:i w:val="1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רמית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טירחא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פסידא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הריטב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במועד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טרחא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למעט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בשמחת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הרגל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ולפיכך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התירו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צורך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המועד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דואג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אבדתו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ונמנע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משמחת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התירו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פעולה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יאכל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המקדש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ספר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יראים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שד</w:t>
      </w:r>
      <w:r w:rsidDel="00000000" w:rsidR="00000000" w:rsidRPr="00000000">
        <w:rPr>
          <w:b w:val="1"/>
          <w:sz w:val="24"/>
          <w:szCs w:val="24"/>
          <w:rtl w:val="1"/>
        </w:rPr>
        <w:t xml:space="preserve"> [</w:t>
      </w:r>
      <w:r w:rsidDel="00000000" w:rsidR="00000000" w:rsidRPr="00000000">
        <w:rPr>
          <w:b w:val="1"/>
          <w:sz w:val="24"/>
          <w:szCs w:val="24"/>
          <w:rtl w:val="1"/>
        </w:rPr>
        <w:t xml:space="preserve">דפוס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ישן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קיג</w:t>
      </w:r>
      <w:r w:rsidDel="00000000" w:rsidR="00000000" w:rsidRPr="00000000">
        <w:rPr>
          <w:b w:val="1"/>
          <w:sz w:val="24"/>
          <w:szCs w:val="24"/>
          <w:rtl w:val="1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וגזרו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האבד</w:t>
      </w:r>
      <w:r w:rsidDel="00000000" w:rsidR="00000000" w:rsidRPr="00000000">
        <w:rPr>
          <w:sz w:val="24"/>
          <w:szCs w:val="24"/>
          <w:rtl w:val="1"/>
        </w:rPr>
        <w:t xml:space="preserve">  ...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אסמכתא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… </w:t>
      </w:r>
      <w:r w:rsidDel="00000000" w:rsidR="00000000" w:rsidRPr="00000000">
        <w:rPr>
          <w:sz w:val="24"/>
          <w:szCs w:val="24"/>
          <w:rtl w:val="1"/>
        </w:rPr>
        <w:t xml:space="preserve">מדתלי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מיתסרא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טורח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הלואות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מועטה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בביתו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מותרת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'] </w:t>
      </w:r>
      <w:r w:rsidDel="00000000" w:rsidR="00000000" w:rsidRPr="00000000">
        <w:rPr>
          <w:sz w:val="24"/>
          <w:szCs w:val="24"/>
          <w:rtl w:val="1"/>
        </w:rPr>
        <w:t xml:space="preserve">פרגמטיא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טרחא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שמותר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i w:val="1"/>
          <w:sz w:val="24"/>
          <w:szCs w:val="24"/>
          <w:rtl w:val="0"/>
        </w:rPr>
        <w:t xml:space="preserve"> [Like Radvaz]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ספר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הלקט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סדר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איגרות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צרכיו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טירחא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כמטייל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תרומת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הדשן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קנג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דבחוה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ראבי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תתלה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שישמח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במועד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כדמפרש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ומתוך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שמחה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נוח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ללמוד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עג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למרחקים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פרקמטיא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האבוד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תקמ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גבשושית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שבבית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גבשושית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שבבית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בונה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מתירינן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כדרכו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דנטילת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גבשושית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טורח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פרי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מגדים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אברהם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תקמ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גבשושית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לצורך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המועד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יתקל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שרי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גבשושית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פרי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מגדים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משבצות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תקלז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ועבורי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רווחא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רווחא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וכדומה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גמורה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טורח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עבורי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רווחא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תקמז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שנוהגים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עמק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טרחא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להגיה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כשחוזרין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כנהוג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בהגהת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בתלישת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אחדים</w:t>
      </w:r>
      <w:r w:rsidDel="00000000" w:rsidR="00000000" w:rsidRPr="00000000">
        <w:rPr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הכתיבה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ותלישת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העשבים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טורח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מעט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דגם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בגדרי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גפרור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דמותר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גבשושית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כיבוד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חיי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הקושר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ונ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contextualSpacing w:val="0"/>
      <w:jc w:val="center"/>
      <w:rPr>
        <w:i w:val="1"/>
        <w:sz w:val="34"/>
        <w:szCs w:val="34"/>
      </w:rPr>
    </w:pPr>
    <w:r w:rsidDel="00000000" w:rsidR="00000000" w:rsidRPr="00000000">
      <w:rPr>
        <w:i w:val="1"/>
        <w:sz w:val="34"/>
        <w:szCs w:val="34"/>
        <w:rtl w:val="1"/>
      </w:rPr>
      <w:t xml:space="preserve">שערי</w:t>
    </w:r>
    <w:r w:rsidDel="00000000" w:rsidR="00000000" w:rsidRPr="00000000">
      <w:rPr>
        <w:i w:val="1"/>
        <w:sz w:val="34"/>
        <w:szCs w:val="34"/>
        <w:rtl w:val="1"/>
      </w:rPr>
      <w:t xml:space="preserve"> </w:t>
    </w:r>
    <w:r w:rsidDel="00000000" w:rsidR="00000000" w:rsidRPr="00000000">
      <w:rPr>
        <w:i w:val="1"/>
        <w:sz w:val="34"/>
        <w:szCs w:val="34"/>
        <w:rtl w:val="1"/>
      </w:rPr>
      <w:t xml:space="preserve">תפילה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contextualSpacing w:val="0"/>
      <w:rPr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contextualSpacing w:val="0"/>
      <w:rPr>
        <w:i w:val="1"/>
        <w:sz w:val="24"/>
        <w:szCs w:val="24"/>
      </w:rPr>
    </w:pPr>
    <w:r w:rsidDel="00000000" w:rsidR="00000000" w:rsidRPr="00000000">
      <w:rPr>
        <w:i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