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06" w:rsidRPr="008B7106" w:rsidRDefault="008B7106" w:rsidP="008B7106">
      <w:pPr>
        <w:pStyle w:val="Title"/>
        <w:bidi/>
        <w:jc w:val="center"/>
        <w:rPr>
          <w:rFonts w:hint="cs"/>
          <w:sz w:val="56"/>
          <w:szCs w:val="56"/>
          <w:rtl/>
        </w:rPr>
      </w:pPr>
      <w:r w:rsidRPr="008B7106">
        <w:rPr>
          <w:rFonts w:hint="cs"/>
          <w:sz w:val="56"/>
          <w:szCs w:val="56"/>
          <w:rtl/>
        </w:rPr>
        <w:t>ברכה על הקמח</w:t>
      </w:r>
      <w:r w:rsidR="002D2F23">
        <w:rPr>
          <w:rFonts w:hint="cs"/>
          <w:sz w:val="56"/>
          <w:szCs w:val="56"/>
          <w:rtl/>
        </w:rPr>
        <w:t xml:space="preserve"> \ דבש \ סוכר</w:t>
      </w:r>
    </w:p>
    <w:p w:rsidR="00BE74A4" w:rsidRPr="008B7106" w:rsidRDefault="008B7106" w:rsidP="008B7106">
      <w:pPr>
        <w:pStyle w:val="Title"/>
        <w:bidi/>
        <w:jc w:val="center"/>
        <w:rPr>
          <w:rtl/>
        </w:rPr>
      </w:pPr>
      <w:r w:rsidRPr="008B7106">
        <w:rPr>
          <w:rFonts w:hint="cs"/>
          <w:sz w:val="44"/>
          <w:szCs w:val="44"/>
          <w:rtl/>
        </w:rPr>
        <w:t xml:space="preserve">עמוד שבעוי - </w:t>
      </w:r>
      <w:r w:rsidR="00BE74A4" w:rsidRPr="008B7106">
        <w:rPr>
          <w:rFonts w:hint="cs"/>
          <w:sz w:val="44"/>
          <w:szCs w:val="44"/>
          <w:rtl/>
        </w:rPr>
        <w:t>ברכות ל</w:t>
      </w:r>
      <w:r w:rsidRPr="008B7106">
        <w:rPr>
          <w:rFonts w:hint="cs"/>
          <w:sz w:val="44"/>
          <w:szCs w:val="44"/>
          <w:rtl/>
        </w:rPr>
        <w:t>ו</w:t>
      </w:r>
      <w:r w:rsidR="00BE74A4" w:rsidRPr="008B7106">
        <w:rPr>
          <w:rFonts w:hint="cs"/>
          <w:sz w:val="44"/>
          <w:szCs w:val="44"/>
          <w:rtl/>
        </w:rPr>
        <w:t>.</w:t>
      </w:r>
    </w:p>
    <w:p w:rsidR="00BE74A4" w:rsidRPr="008B7106" w:rsidRDefault="008B7106" w:rsidP="008B7106">
      <w:pPr>
        <w:pStyle w:val="Title"/>
        <w:bidi/>
        <w:jc w:val="center"/>
        <w:rPr>
          <w:sz w:val="24"/>
          <w:szCs w:val="24"/>
        </w:rPr>
      </w:pPr>
      <w:r w:rsidRPr="008B7106">
        <w:rPr>
          <w:rFonts w:hint="cs"/>
          <w:sz w:val="24"/>
          <w:szCs w:val="24"/>
          <w:rtl/>
        </w:rPr>
        <w:t>דב גדליה שוגרמן</w:t>
      </w:r>
    </w:p>
    <w:p w:rsidR="00BE74A4" w:rsidRDefault="00BE74A4" w:rsidP="00BE74A4">
      <w:pPr>
        <w:bidi/>
        <w:rPr>
          <w:rFonts w:cs="Arial"/>
          <w:rtl/>
        </w:rPr>
        <w:sectPr w:rsidR="00BE74A4" w:rsidSect="00E407AA">
          <w:pgSz w:w="12240" w:h="15840"/>
          <w:pgMar w:top="1440" w:right="1440" w:bottom="1440" w:left="1440" w:header="720" w:footer="720" w:gutter="0"/>
          <w:cols w:space="720"/>
          <w:docGrid w:linePitch="360"/>
        </w:sectPr>
      </w:pPr>
    </w:p>
    <w:p w:rsidR="00BE74A4" w:rsidRDefault="008B7106" w:rsidP="00BE74A4">
      <w:pPr>
        <w:pStyle w:val="Heading1"/>
        <w:bidi/>
        <w:rPr>
          <w:rtl/>
        </w:rPr>
      </w:pPr>
      <w:r>
        <w:rPr>
          <w:rFonts w:hint="cs"/>
          <w:rtl/>
        </w:rPr>
        <w:lastRenderedPageBreak/>
        <w:t>ברכות לו.</w:t>
      </w:r>
    </w:p>
    <w:p w:rsidR="00BE74A4" w:rsidRDefault="008B7106" w:rsidP="00BE74A4">
      <w:pPr>
        <w:bidi/>
        <w:jc w:val="both"/>
        <w:rPr>
          <w:rFonts w:cs="Arial"/>
          <w:rtl/>
        </w:rPr>
      </w:pPr>
      <w:r w:rsidRPr="008B7106">
        <w:rPr>
          <w:rFonts w:cs="Arial"/>
          <w:rtl/>
        </w:rPr>
        <w:t xml:space="preserve">קמחא דחיטי, - רב יהודה אמר: בורא פרי האדמה; ורב נחמן אמר: שהכל נהיה בדברו. אמר ליה רבא לרב נחמן: לא תפלוג עליה דרב יהודה, דרבי יוחנן ושמואל קיימי כוותיה; דאמר רב יהודה אמר שמואל, וכן אמר רבי יצחק אמר רבי יוחנן: שמן זית - מברכין עליו בורא פרי העץ; אלמא: אף על גב דאשתני - במלתיה קאי; הא נמי, אף על גב דאשתני - במלתיה קאי. מי דמי! </w:t>
      </w:r>
      <w:r w:rsidRPr="00260469">
        <w:rPr>
          <w:rFonts w:cs="Arial"/>
          <w:u w:val="single"/>
          <w:rtl/>
        </w:rPr>
        <w:t>התם - לית ליה עלויא אחרינא, הכא - אית ליה עלויא אחרינא בפת</w:t>
      </w:r>
      <w:r w:rsidRPr="008B7106">
        <w:rPr>
          <w:rFonts w:cs="Arial"/>
          <w:rtl/>
        </w:rPr>
        <w:t>. וכי אית ליה עלויא אחרינא לא מברכינן עליה בורא פרי האדמה אלא שהכל? והא אמר רבי זירא אמר רב מתנא אמר שמואל: אקרא חייא וקמחא דשערי מברכינן עלייהו שהכל נהיה בדברו, מאי לאו, דחיטי - בורא פרי האדמה! לא, דחיטי נמי, שהכל נהיה בדברו. ולשמעינן דחיטי וכל שכן דשערי! אי אשמעינן דחיטי - הוה אמינא: הני מילי דחיטי, אבל דשערי לא לבריך עליה כלל - קמשמע לן. ומי גרע ממלח וזמית? דתנן: על המלח ועל הזמית אומר שהכל נהיה בדברו! אצטריך, סלקא דעתך אמינא: מלח וזמית - עביד אינש דשדי לפומיה, אבל קמחא דשערי, הואיל וקשה לקוקיאני - לא לבריך עליה כלל; קמשמע לן: כיון דאית ליה הנאה מיניה - בעי ברוכי.</w:t>
      </w:r>
    </w:p>
    <w:p w:rsidR="00BE74A4" w:rsidRDefault="008B7106" w:rsidP="008B7106">
      <w:pPr>
        <w:pStyle w:val="Heading1"/>
        <w:bidi/>
        <w:rPr>
          <w:rtl/>
        </w:rPr>
      </w:pPr>
      <w:r>
        <w:rPr>
          <w:rFonts w:hint="cs"/>
          <w:rtl/>
        </w:rPr>
        <w:t>רש"י שם</w:t>
      </w:r>
    </w:p>
    <w:p w:rsidR="008B7106" w:rsidRDefault="008B7106" w:rsidP="00BE74A4">
      <w:pPr>
        <w:bidi/>
        <w:jc w:val="both"/>
        <w:rPr>
          <w:rFonts w:cs="Arial" w:hint="cs"/>
          <w:rtl/>
        </w:rPr>
      </w:pPr>
      <w:r w:rsidRPr="008B7106">
        <w:rPr>
          <w:rFonts w:cs="Arial"/>
          <w:rtl/>
        </w:rPr>
        <w:t xml:space="preserve">הכא אית ליה עילויא אחרינא - הלכך: </w:t>
      </w:r>
      <w:r w:rsidRPr="00260469">
        <w:rPr>
          <w:rFonts w:cs="Arial"/>
          <w:u w:val="single"/>
          <w:rtl/>
        </w:rPr>
        <w:t>יצא מכלל פרי</w:t>
      </w:r>
      <w:r w:rsidRPr="00AB3EEF">
        <w:rPr>
          <w:rFonts w:cs="Arial"/>
          <w:rtl/>
        </w:rPr>
        <w:t xml:space="preserve">, </w:t>
      </w:r>
      <w:r w:rsidRPr="008B7106">
        <w:rPr>
          <w:rFonts w:cs="Arial"/>
          <w:rtl/>
        </w:rPr>
        <w:t xml:space="preserve">ולכלל דרך אכילתו לא בא, אבל השמן מיד בא בשנויו לכלל דרך אכילתו, </w:t>
      </w:r>
      <w:r w:rsidRPr="00260469">
        <w:rPr>
          <w:rFonts w:cs="Arial"/>
          <w:u w:val="single"/>
          <w:rtl/>
        </w:rPr>
        <w:t>ועיקר הפרי לכך נטעוהו</w:t>
      </w:r>
      <w:r w:rsidRPr="008B7106">
        <w:rPr>
          <w:rFonts w:cs="Arial"/>
          <w:rtl/>
        </w:rPr>
        <w:t xml:space="preserve"> - </w:t>
      </w:r>
      <w:r w:rsidRPr="00260469">
        <w:rPr>
          <w:rFonts w:cs="Arial"/>
          <w:u w:val="single"/>
          <w:rtl/>
        </w:rPr>
        <w:t>הלכך פרי הוא</w:t>
      </w:r>
      <w:r w:rsidRPr="008B7106">
        <w:rPr>
          <w:rFonts w:cs="Arial"/>
          <w:rtl/>
        </w:rPr>
        <w:t>.</w:t>
      </w:r>
    </w:p>
    <w:p w:rsidR="008B7106" w:rsidRDefault="008B7106" w:rsidP="008B7106">
      <w:pPr>
        <w:pStyle w:val="Heading1"/>
        <w:bidi/>
        <w:rPr>
          <w:rFonts w:hint="cs"/>
          <w:rtl/>
        </w:rPr>
      </w:pPr>
      <w:r>
        <w:rPr>
          <w:rFonts w:hint="cs"/>
          <w:rtl/>
        </w:rPr>
        <w:t>תוספות שם</w:t>
      </w:r>
    </w:p>
    <w:p w:rsidR="00BE74A4" w:rsidRDefault="008B7106" w:rsidP="008B7106">
      <w:pPr>
        <w:bidi/>
        <w:jc w:val="both"/>
        <w:rPr>
          <w:rFonts w:cs="Arial" w:hint="cs"/>
          <w:rtl/>
        </w:rPr>
      </w:pPr>
      <w:r w:rsidRPr="008B7106">
        <w:rPr>
          <w:rFonts w:cs="Arial"/>
          <w:rtl/>
        </w:rPr>
        <w:t>קמחא דחיטי - נראה דלא מיירי בקמחא ממש דאם כן לא שייכא ביה ברכה דבורא פרי האדמה אלא מיירי בקמחא שקורין אישקלא"טיר או בקמח שעושין משבולת שועל שמייבשין בתנור</w:t>
      </w:r>
      <w:r>
        <w:rPr>
          <w:rFonts w:cs="Arial" w:hint="cs"/>
          <w:rtl/>
        </w:rPr>
        <w:t>+</w:t>
      </w:r>
    </w:p>
    <w:p w:rsidR="008B7106" w:rsidRDefault="008B7106" w:rsidP="008B7106">
      <w:pPr>
        <w:pStyle w:val="Heading1"/>
        <w:bidi/>
        <w:rPr>
          <w:rFonts w:hint="cs"/>
          <w:rtl/>
        </w:rPr>
      </w:pPr>
      <w:r>
        <w:rPr>
          <w:rFonts w:hint="cs"/>
          <w:rtl/>
        </w:rPr>
        <w:lastRenderedPageBreak/>
        <w:t>דברים פרק יד</w:t>
      </w:r>
    </w:p>
    <w:p w:rsidR="008B7106" w:rsidRPr="008B7106" w:rsidRDefault="008B7106" w:rsidP="008B7106">
      <w:pPr>
        <w:bidi/>
        <w:jc w:val="both"/>
        <w:rPr>
          <w:rFonts w:cs="Arial"/>
        </w:rPr>
      </w:pPr>
      <w:r w:rsidRPr="008B7106">
        <w:rPr>
          <w:rFonts w:cs="Arial"/>
          <w:rtl/>
        </w:rPr>
        <w:t>(כב) עַשֵּׂר תְּעַשֵּׂר אֵת כָּל תְּבוּאַת זַרְעֶךָ הַיֹּצֵא הַשָּׂדֶה שָׁנָה שָׁנָה:</w:t>
      </w:r>
    </w:p>
    <w:p w:rsidR="008B7106" w:rsidRDefault="008B7106" w:rsidP="008B7106">
      <w:pPr>
        <w:bidi/>
        <w:jc w:val="both"/>
        <w:rPr>
          <w:rFonts w:cs="Arial" w:hint="cs"/>
          <w:rtl/>
        </w:rPr>
      </w:pPr>
      <w:r w:rsidRPr="008B7106">
        <w:rPr>
          <w:rFonts w:cs="Arial"/>
          <w:rtl/>
        </w:rPr>
        <w:t>(כג) וְאָכַלְתָּ לִפְנֵי יְקֹוָק אֱלֹהֶיךָ בַּמָּקוֹם אֲשֶׁר יִבְחַר לְשַׁכֵּן שְׁמוֹ שָׁם מַעְשַׂר דְּגָנְךָ תִּירֹשְׁךָ וְיִצְהָרֶךָ וּבְכֹרֹת בְּקָרְךָ וְצֹאנֶךָ לְמַעַן תִּלְמַד לְיִרְאָה אֶת יְקֹוָק אֱלֹהֶיךָ כָּל הַיָּמִים:</w:t>
      </w:r>
    </w:p>
    <w:p w:rsidR="00B2671F" w:rsidRDefault="00B2671F" w:rsidP="00B2671F">
      <w:pPr>
        <w:pStyle w:val="Heading1"/>
        <w:bidi/>
        <w:rPr>
          <w:rFonts w:hint="cs"/>
          <w:rtl/>
        </w:rPr>
      </w:pPr>
      <w:r>
        <w:rPr>
          <w:rFonts w:hint="cs"/>
          <w:rtl/>
        </w:rPr>
        <w:t>רמב"ן שם</w:t>
      </w:r>
    </w:p>
    <w:p w:rsidR="008B7106" w:rsidRPr="008B7106" w:rsidRDefault="008B7106" w:rsidP="00B2671F">
      <w:pPr>
        <w:bidi/>
        <w:jc w:val="both"/>
        <w:rPr>
          <w:rFonts w:cs="Arial"/>
        </w:rPr>
      </w:pPr>
      <w:r w:rsidRPr="008B7106">
        <w:rPr>
          <w:rFonts w:cs="Arial"/>
          <w:rtl/>
        </w:rPr>
        <w:t>ואחר כך (פסוק כג) הזכיר המינים המחוייבים להתעשר, מעשר דגנך ותירשך ויצהרך - וכן יזכיר בכל מקום (לעיל יב יז) לא תוכל לאכל בשעריך מעשר דגנך ותירשך ויצהרך וגו', וכן אמר בפרשת מתנות כהונה (במדבר יח יב) כל חלב יצהר וכל חלב תירוש ודגן ראשיתם אשר יתנו לה', כי אלו בלבד הם החייבים בתרומה ובמעשרות מן התורה. וכן מה שאמר הכתוב (ויקרא כז ל) וכל מעשר הארץ מזרע הארץ מפרי העץ לה' הוא, לא יצוה שיעשר כל זרע הארץ וכל פרי העץ, אבל טעמו כל אשר תעשר מזרע הארץ שהוא דגן ומפרי העץ שהוא תירוש ויצהר יהיה לה'. וכלשון הזה כתב רש"י (שם), מזרע הארץ דגן, ופרי העץ תירוש ויצהר. ויקצר הכתוב שם, כי איננו מקום המצוה לחייב שיעשר, אבל הוא מצוה שיהיה המעשר קדש לה' עד שיפדה בתוספת חומש, אבל המצוה בתרומות ומעשרות בכל מקום הן דגן תירוש ויצהר:</w:t>
      </w:r>
    </w:p>
    <w:p w:rsidR="008B7106" w:rsidRDefault="008B7106" w:rsidP="008B7106">
      <w:pPr>
        <w:bidi/>
        <w:jc w:val="both"/>
        <w:rPr>
          <w:rFonts w:cs="Arial" w:hint="cs"/>
          <w:rtl/>
        </w:rPr>
      </w:pPr>
      <w:r w:rsidRPr="008B7106">
        <w:rPr>
          <w:rFonts w:cs="Arial"/>
          <w:rtl/>
        </w:rPr>
        <w:t xml:space="preserve">ופירוש דגן בלשון הקדש, חמשת המינין הידועין בתבואה, ופירוש תירוש, היין החדש אשר ישיקו היקבים, ויצהר, השמן אשר בהן. ואין מין אחר בכל הזרעין ובכל פירות האילן חייבין מן התורה כלל לא בתרומות ולא במעשרות, ויש ברייתות שנויות בתורת כהנים (בחקותי פרק יב ט) ובספרי (ראה קה) לאסמכתות והן מוטעות. אבל הדבר המתבאר בגמרא מן התלמוד הבבלי (ברכות לו א) והירושלמי (חלה פ"ד ה"ד) ופשוטו של מקרא כך הוא, שאפילו זיתים וענבים מעשר שלהם אינו מן התורה עד שיעשו תירוש ויצהר. ותהיה בזה נזהר, שכבר טעו </w:t>
      </w:r>
      <w:r w:rsidRPr="008B7106">
        <w:rPr>
          <w:rFonts w:cs="Arial"/>
          <w:rtl/>
        </w:rPr>
        <w:lastRenderedPageBreak/>
        <w:t>בו מגדולי המחברים (עי' רמב"ם הלכות תרומות פ"ב ה"א)]:</w:t>
      </w:r>
    </w:p>
    <w:p w:rsidR="00B2671F" w:rsidRDefault="00B2671F" w:rsidP="00B2671F">
      <w:pPr>
        <w:pStyle w:val="Heading1"/>
        <w:bidi/>
        <w:rPr>
          <w:rFonts w:hint="cs"/>
          <w:rtl/>
        </w:rPr>
      </w:pPr>
      <w:r>
        <w:rPr>
          <w:rFonts w:hint="cs"/>
          <w:rtl/>
        </w:rPr>
        <w:t>רמב"ם הלכות ברכות ח:ה</w:t>
      </w:r>
    </w:p>
    <w:p w:rsidR="00B2671F" w:rsidRDefault="00B2671F" w:rsidP="00B2671F">
      <w:pPr>
        <w:bidi/>
        <w:jc w:val="both"/>
        <w:rPr>
          <w:rFonts w:cs="Arial" w:hint="cs"/>
          <w:rtl/>
        </w:rPr>
      </w:pPr>
      <w:r w:rsidRPr="00B2671F">
        <w:rPr>
          <w:rFonts w:cs="Arial"/>
          <w:rtl/>
        </w:rPr>
        <w:t>הקנים המתוקים שסוחטין אותן ומבשלין מימיהן עד שיקפא וידמה למלח, כל הגאונים אומרים שמברכין על</w:t>
      </w:r>
      <w:r w:rsidR="00827C9D">
        <w:rPr>
          <w:rFonts w:cs="Arial"/>
          <w:rtl/>
        </w:rPr>
        <w:t>יו בורא פרי האדמה, ומקצתם אמרו</w:t>
      </w:r>
      <w:r w:rsidRPr="00B2671F">
        <w:rPr>
          <w:rFonts w:cs="Arial"/>
          <w:rtl/>
        </w:rPr>
        <w:t xml:space="preserve"> בורא פרי העץ, וכן אמרו שהמוצץ אותם קנים מברך בורא פרי האדמה, ואני אומר שאין זה פרי ואין מברכין עליו אלא שהכל, שלא יהיה דבש אלו הקנים שנשתנה על</w:t>
      </w:r>
      <w:r w:rsidR="00827C9D">
        <w:rPr>
          <w:rFonts w:cs="Arial"/>
          <w:rtl/>
        </w:rPr>
        <w:t xml:space="preserve"> ידי אור</w:t>
      </w:r>
      <w:r w:rsidRPr="00B2671F">
        <w:rPr>
          <w:rFonts w:cs="Arial"/>
          <w:rtl/>
        </w:rPr>
        <w:t xml:space="preserve"> גדול מדבש תמרים שלא נשתנה על ידי האור ומברכין עליו שהכל.</w:t>
      </w:r>
    </w:p>
    <w:p w:rsidR="00260469" w:rsidRDefault="00AB3B17" w:rsidP="00AB3B17">
      <w:pPr>
        <w:pStyle w:val="Heading1"/>
        <w:bidi/>
        <w:rPr>
          <w:rFonts w:hint="cs"/>
          <w:rtl/>
        </w:rPr>
      </w:pPr>
      <w:r>
        <w:rPr>
          <w:rFonts w:hint="cs"/>
          <w:rtl/>
        </w:rPr>
        <w:t>טור או"ח ס' רב</w:t>
      </w:r>
    </w:p>
    <w:p w:rsidR="00260469" w:rsidRDefault="00260469" w:rsidP="00260469">
      <w:pPr>
        <w:bidi/>
        <w:jc w:val="both"/>
        <w:rPr>
          <w:rFonts w:cs="Arial" w:hint="cs"/>
          <w:rtl/>
        </w:rPr>
      </w:pPr>
      <w:r w:rsidRPr="00260469">
        <w:rPr>
          <w:rFonts w:cs="Arial"/>
          <w:rtl/>
        </w:rPr>
        <w:t>ועל דבש הזב מהן שהכל</w:t>
      </w:r>
      <w:r w:rsidR="002D2F23">
        <w:rPr>
          <w:rFonts w:cs="Arial"/>
          <w:rtl/>
        </w:rPr>
        <w:t xml:space="preserve"> ובה"ג כתב דוקא שעירב בו מים </w:t>
      </w:r>
      <w:r w:rsidRPr="00260469">
        <w:rPr>
          <w:rFonts w:cs="Arial"/>
          <w:rtl/>
        </w:rPr>
        <w:t xml:space="preserve">אבל אם הוא בעיניה בפה"ע ורבי' יצחק לא היה מחלק והרמב"ם </w:t>
      </w:r>
      <w:r w:rsidR="002D2F23">
        <w:rPr>
          <w:rFonts w:cs="Arial"/>
          <w:rtl/>
        </w:rPr>
        <w:t xml:space="preserve">ז"ל כתב דבש תמרים שהכל </w:t>
      </w:r>
      <w:r w:rsidRPr="00260469">
        <w:rPr>
          <w:rFonts w:cs="Arial"/>
          <w:rtl/>
        </w:rPr>
        <w:t>אבל תמרים שמיעכן ביד והוציא מהן גרעיניהן ועשה מהן עיסה מברך עליהן</w:t>
      </w:r>
      <w:r w:rsidR="002D2F23">
        <w:rPr>
          <w:rFonts w:cs="Arial"/>
          <w:rtl/>
        </w:rPr>
        <w:t xml:space="preserve"> בפה"ע ולסוף ברכה אחת מעין ג' </w:t>
      </w:r>
      <w:r w:rsidRPr="00260469">
        <w:rPr>
          <w:rFonts w:cs="Arial"/>
          <w:rtl/>
        </w:rPr>
        <w:t>ואפשר שגם רבי' יצחק מודה בזה הענין כיו</w:t>
      </w:r>
      <w:r w:rsidR="002D2F23">
        <w:rPr>
          <w:rFonts w:cs="Arial"/>
          <w:rtl/>
        </w:rPr>
        <w:t xml:space="preserve">ן </w:t>
      </w:r>
      <w:r w:rsidR="002D2F23">
        <w:rPr>
          <w:rFonts w:cs="Arial"/>
          <w:rtl/>
        </w:rPr>
        <w:lastRenderedPageBreak/>
        <w:t xml:space="preserve">שהם בעין חשובים כעיקר הפרי </w:t>
      </w:r>
      <w:r w:rsidRPr="00260469">
        <w:rPr>
          <w:rFonts w:cs="Arial"/>
          <w:rtl/>
        </w:rPr>
        <w:t>לדברי הכל וכל מיני פירות מברכין על משקין היוצאין מהן שהכל חוץ מהיוצא מהענבים והשמן</w:t>
      </w:r>
    </w:p>
    <w:p w:rsidR="00AB3B17" w:rsidRDefault="00AB3B17" w:rsidP="00AB3B17">
      <w:pPr>
        <w:pStyle w:val="Heading1"/>
        <w:bidi/>
        <w:rPr>
          <w:rFonts w:hint="cs"/>
          <w:rtl/>
        </w:rPr>
      </w:pPr>
      <w:r>
        <w:rPr>
          <w:rFonts w:hint="cs"/>
          <w:rtl/>
        </w:rPr>
        <w:t>טור או"ח ס' רב</w:t>
      </w:r>
    </w:p>
    <w:p w:rsidR="008B7106" w:rsidRDefault="00AB3B17" w:rsidP="00AB3B17">
      <w:pPr>
        <w:bidi/>
        <w:jc w:val="both"/>
        <w:rPr>
          <w:rFonts w:cs="Arial" w:hint="cs"/>
          <w:rtl/>
        </w:rPr>
      </w:pPr>
      <w:r w:rsidRPr="00AB3B17">
        <w:rPr>
          <w:rFonts w:cs="Arial"/>
          <w:rtl/>
        </w:rPr>
        <w:t>ועל הסוכרא כתב בה"ג בפה"ע והרמב"ם ז"ל כתב קנים מתוקין שסוחטין אותן ומבשלין מימיהן עד שיקפו וידמו למלח כל הגאונים כתבו שמברך בפה"א וי"א בפה"ע וכן אומרי</w:t>
      </w:r>
      <w:r w:rsidR="00AB3EEF">
        <w:rPr>
          <w:rFonts w:cs="Arial"/>
          <w:rtl/>
        </w:rPr>
        <w:t xml:space="preserve">ם המוצץ אותן קנים מברך בפה"א </w:t>
      </w:r>
      <w:r w:rsidRPr="00AB3B17">
        <w:rPr>
          <w:rFonts w:cs="Arial"/>
          <w:rtl/>
        </w:rPr>
        <w:t>ואני אומר שאין זה</w:t>
      </w:r>
      <w:r w:rsidR="00AB3EEF">
        <w:rPr>
          <w:rFonts w:cs="Arial"/>
          <w:rtl/>
        </w:rPr>
        <w:t xml:space="preserve"> נקרא פרי ומברכין עליהם שהכל </w:t>
      </w:r>
      <w:r w:rsidRPr="00AB3B17">
        <w:rPr>
          <w:rFonts w:cs="Arial"/>
          <w:rtl/>
        </w:rPr>
        <w:t xml:space="preserve">לא יהא דבש של אלו הקנים שנשתנה ע"י האור גדול מדבש תמרים דלא נשתנה ע"י האור ומברכין עליו </w:t>
      </w:r>
      <w:r w:rsidR="00AB3EEF">
        <w:rPr>
          <w:rFonts w:cs="Arial"/>
          <w:rtl/>
        </w:rPr>
        <w:t xml:space="preserve">שהכל </w:t>
      </w:r>
      <w:r w:rsidR="00AB3EEF" w:rsidRPr="00AB3EEF">
        <w:rPr>
          <w:rFonts w:cs="Arial"/>
          <w:u w:val="single"/>
          <w:rtl/>
        </w:rPr>
        <w:t xml:space="preserve">ואפשר </w:t>
      </w:r>
      <w:r w:rsidRPr="00AB3EEF">
        <w:rPr>
          <w:rFonts w:cs="Arial"/>
          <w:u w:val="single"/>
          <w:rtl/>
        </w:rPr>
        <w:t>להשיב על דבריו שאינו דומה לדבש תמרים שהתמרים הן פרי ונטעי להו אדעתא לאוכלם הלכך כשנשתנו נשתנית ברכתן מידי דהוה אכל הפירות שמברכים על משקין היוצאין מהם שהכל חוץ מהיין והשמן אבל אלו הקנים שאינן ראויין לאכילה ועיקר נטיעתן על דעת הדבש ודאי זה פריין ומברכין עליו בפה"</w:t>
      </w:r>
      <w:r w:rsidR="00AB3EEF">
        <w:rPr>
          <w:rFonts w:cs="Arial" w:hint="cs"/>
          <w:u w:val="single"/>
          <w:rtl/>
        </w:rPr>
        <w:t>ע</w:t>
      </w:r>
      <w:r w:rsidR="008B7106" w:rsidRPr="00AB3EEF">
        <w:rPr>
          <w:rFonts w:cs="Arial" w:hint="cs"/>
          <w:u w:val="single"/>
          <w:rtl/>
        </w:rPr>
        <w:t xml:space="preserve"> </w:t>
      </w:r>
      <w:r w:rsidR="008B7106">
        <w:rPr>
          <w:rFonts w:cs="Arial" w:hint="cs"/>
          <w:rtl/>
        </w:rPr>
        <w:t xml:space="preserve">         </w:t>
      </w:r>
    </w:p>
    <w:p w:rsidR="008B7106" w:rsidRDefault="008B7106" w:rsidP="008B7106">
      <w:pPr>
        <w:bidi/>
        <w:jc w:val="both"/>
        <w:rPr>
          <w:rFonts w:cs="Arial" w:hint="cs"/>
          <w:rtl/>
        </w:rPr>
      </w:pPr>
    </w:p>
    <w:p w:rsidR="008B7106" w:rsidRDefault="008B7106" w:rsidP="008B7106">
      <w:pPr>
        <w:bidi/>
        <w:jc w:val="both"/>
        <w:rPr>
          <w:rFonts w:cs="Arial"/>
          <w:rtl/>
        </w:rPr>
        <w:sectPr w:rsidR="008B7106" w:rsidSect="00BE74A4">
          <w:type w:val="continuous"/>
          <w:pgSz w:w="12240" w:h="15840"/>
          <w:pgMar w:top="1440" w:right="1440" w:bottom="1440" w:left="1440" w:header="720" w:footer="720" w:gutter="0"/>
          <w:cols w:num="2" w:sep="1" w:space="720"/>
          <w:bidi/>
          <w:docGrid w:linePitch="360"/>
        </w:sectPr>
      </w:pPr>
    </w:p>
    <w:p w:rsidR="00BE74A4" w:rsidRDefault="00BE74A4" w:rsidP="00BE74A4">
      <w:pPr>
        <w:bidi/>
      </w:pPr>
    </w:p>
    <w:sectPr w:rsidR="00BE74A4" w:rsidSect="00BE74A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85D" w:rsidRDefault="001C785D" w:rsidP="00BE74A4">
      <w:pPr>
        <w:spacing w:after="0" w:line="240" w:lineRule="auto"/>
      </w:pPr>
      <w:r>
        <w:separator/>
      </w:r>
    </w:p>
  </w:endnote>
  <w:endnote w:type="continuationSeparator" w:id="0">
    <w:p w:rsidR="001C785D" w:rsidRDefault="001C785D" w:rsidP="00BE7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85D" w:rsidRDefault="001C785D" w:rsidP="00BE74A4">
      <w:pPr>
        <w:spacing w:after="0" w:line="240" w:lineRule="auto"/>
      </w:pPr>
      <w:r>
        <w:separator/>
      </w:r>
    </w:p>
  </w:footnote>
  <w:footnote w:type="continuationSeparator" w:id="0">
    <w:p w:rsidR="001C785D" w:rsidRDefault="001C785D" w:rsidP="00BE74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E74A4"/>
    <w:rsid w:val="00013135"/>
    <w:rsid w:val="00073B09"/>
    <w:rsid w:val="001503D9"/>
    <w:rsid w:val="00154EE8"/>
    <w:rsid w:val="001C785D"/>
    <w:rsid w:val="00245685"/>
    <w:rsid w:val="00260469"/>
    <w:rsid w:val="002D2F23"/>
    <w:rsid w:val="004A6860"/>
    <w:rsid w:val="00827C9D"/>
    <w:rsid w:val="008B7106"/>
    <w:rsid w:val="00A553C0"/>
    <w:rsid w:val="00AB3B17"/>
    <w:rsid w:val="00AB3B73"/>
    <w:rsid w:val="00AB3EEF"/>
    <w:rsid w:val="00B146F0"/>
    <w:rsid w:val="00B2671F"/>
    <w:rsid w:val="00B65FBE"/>
    <w:rsid w:val="00B663E9"/>
    <w:rsid w:val="00BE74A4"/>
    <w:rsid w:val="00E407A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AA"/>
  </w:style>
  <w:style w:type="paragraph" w:styleId="Heading1">
    <w:name w:val="heading 1"/>
    <w:basedOn w:val="Normal"/>
    <w:next w:val="Normal"/>
    <w:link w:val="Heading1Char"/>
    <w:uiPriority w:val="9"/>
    <w:qFormat/>
    <w:rsid w:val="00BE74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7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4A4"/>
    <w:rPr>
      <w:sz w:val="20"/>
      <w:szCs w:val="20"/>
    </w:rPr>
  </w:style>
  <w:style w:type="character" w:styleId="FootnoteReference">
    <w:name w:val="footnote reference"/>
    <w:basedOn w:val="DefaultParagraphFont"/>
    <w:uiPriority w:val="99"/>
    <w:semiHidden/>
    <w:unhideWhenUsed/>
    <w:rsid w:val="00BE74A4"/>
    <w:rPr>
      <w:vertAlign w:val="superscript"/>
    </w:rPr>
  </w:style>
  <w:style w:type="paragraph" w:styleId="Title">
    <w:name w:val="Title"/>
    <w:basedOn w:val="Normal"/>
    <w:next w:val="Normal"/>
    <w:link w:val="TitleChar"/>
    <w:uiPriority w:val="10"/>
    <w:qFormat/>
    <w:rsid w:val="00BE74A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E74A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BE74A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161261">
      <w:bodyDiv w:val="1"/>
      <w:marLeft w:val="0"/>
      <w:marRight w:val="0"/>
      <w:marTop w:val="0"/>
      <w:marBottom w:val="0"/>
      <w:divBdr>
        <w:top w:val="none" w:sz="0" w:space="0" w:color="auto"/>
        <w:left w:val="none" w:sz="0" w:space="0" w:color="auto"/>
        <w:bottom w:val="none" w:sz="0" w:space="0" w:color="auto"/>
        <w:right w:val="none" w:sz="0" w:space="0" w:color="auto"/>
      </w:divBdr>
      <w:divsChild>
        <w:div w:id="165248315">
          <w:marLeft w:val="0"/>
          <w:marRight w:val="-56"/>
          <w:marTop w:val="0"/>
          <w:marBottom w:val="0"/>
          <w:divBdr>
            <w:top w:val="none" w:sz="0" w:space="0" w:color="auto"/>
            <w:left w:val="none" w:sz="0" w:space="0" w:color="auto"/>
            <w:bottom w:val="none" w:sz="0" w:space="0" w:color="auto"/>
            <w:right w:val="none" w:sz="0" w:space="0" w:color="auto"/>
          </w:divBdr>
        </w:div>
        <w:div w:id="1446071992">
          <w:marLeft w:val="0"/>
          <w:marRight w:val="-56"/>
          <w:marTop w:val="0"/>
          <w:marBottom w:val="0"/>
          <w:divBdr>
            <w:top w:val="none" w:sz="0" w:space="0" w:color="auto"/>
            <w:left w:val="none" w:sz="0" w:space="0" w:color="auto"/>
            <w:bottom w:val="none" w:sz="0" w:space="0" w:color="auto"/>
            <w:right w:val="none" w:sz="0" w:space="0" w:color="auto"/>
          </w:divBdr>
        </w:div>
      </w:divsChild>
    </w:div>
    <w:div w:id="589899488">
      <w:bodyDiv w:val="1"/>
      <w:marLeft w:val="0"/>
      <w:marRight w:val="0"/>
      <w:marTop w:val="0"/>
      <w:marBottom w:val="0"/>
      <w:divBdr>
        <w:top w:val="none" w:sz="0" w:space="0" w:color="auto"/>
        <w:left w:val="none" w:sz="0" w:space="0" w:color="auto"/>
        <w:bottom w:val="none" w:sz="0" w:space="0" w:color="auto"/>
        <w:right w:val="none" w:sz="0" w:space="0" w:color="auto"/>
      </w:divBdr>
      <w:divsChild>
        <w:div w:id="337082580">
          <w:marLeft w:val="0"/>
          <w:marRight w:val="-56"/>
          <w:marTop w:val="0"/>
          <w:marBottom w:val="0"/>
          <w:divBdr>
            <w:top w:val="none" w:sz="0" w:space="0" w:color="auto"/>
            <w:left w:val="none" w:sz="0" w:space="0" w:color="auto"/>
            <w:bottom w:val="none" w:sz="0" w:space="0" w:color="auto"/>
            <w:right w:val="none" w:sz="0" w:space="0" w:color="auto"/>
          </w:divBdr>
        </w:div>
        <w:div w:id="2050101870">
          <w:marLeft w:val="0"/>
          <w:marRight w:val="-56"/>
          <w:marTop w:val="0"/>
          <w:marBottom w:val="0"/>
          <w:divBdr>
            <w:top w:val="none" w:sz="0" w:space="0" w:color="auto"/>
            <w:left w:val="none" w:sz="0" w:space="0" w:color="auto"/>
            <w:bottom w:val="none" w:sz="0" w:space="0" w:color="auto"/>
            <w:right w:val="none" w:sz="0" w:space="0" w:color="auto"/>
          </w:divBdr>
        </w:div>
      </w:divsChild>
    </w:div>
    <w:div w:id="634919634">
      <w:bodyDiv w:val="1"/>
      <w:marLeft w:val="0"/>
      <w:marRight w:val="0"/>
      <w:marTop w:val="0"/>
      <w:marBottom w:val="0"/>
      <w:divBdr>
        <w:top w:val="none" w:sz="0" w:space="0" w:color="auto"/>
        <w:left w:val="none" w:sz="0" w:space="0" w:color="auto"/>
        <w:bottom w:val="none" w:sz="0" w:space="0" w:color="auto"/>
        <w:right w:val="none" w:sz="0" w:space="0" w:color="auto"/>
      </w:divBdr>
      <w:divsChild>
        <w:div w:id="698746155">
          <w:marLeft w:val="0"/>
          <w:marRight w:val="-56"/>
          <w:marTop w:val="0"/>
          <w:marBottom w:val="0"/>
          <w:divBdr>
            <w:top w:val="none" w:sz="0" w:space="0" w:color="auto"/>
            <w:left w:val="none" w:sz="0" w:space="0" w:color="auto"/>
            <w:bottom w:val="none" w:sz="0" w:space="0" w:color="auto"/>
            <w:right w:val="none" w:sz="0" w:space="0" w:color="auto"/>
          </w:divBdr>
        </w:div>
        <w:div w:id="1315647335">
          <w:marLeft w:val="0"/>
          <w:marRight w:val="-5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F468B-AC3F-4CDC-B6CC-8686E12A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Sugerman</dc:creator>
  <cp:keywords/>
  <dc:description/>
  <cp:lastModifiedBy>Ben Sugerman</cp:lastModifiedBy>
  <cp:revision>1</cp:revision>
  <dcterms:created xsi:type="dcterms:W3CDTF">2019-08-01T14:05:00Z</dcterms:created>
  <dcterms:modified xsi:type="dcterms:W3CDTF">2019-08-02T16:08:00Z</dcterms:modified>
</cp:coreProperties>
</file>