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2B44" w14:textId="77777777" w:rsidR="00BD0A93" w:rsidRPr="00BD0A93" w:rsidRDefault="00BD0A93" w:rsidP="00BD0A93">
      <w:pPr>
        <w:jc w:val="right"/>
        <w:rPr>
          <w:rtl/>
          <w:lang w:bidi="he-IL"/>
        </w:rPr>
      </w:pPr>
      <w:r w:rsidRPr="00BD0A93">
        <w:rPr>
          <w:rFonts w:hint="cs"/>
          <w:rtl/>
          <w:lang w:bidi="he-IL"/>
        </w:rPr>
        <w:t>הרב שמואל דוב ווייס</w:t>
      </w:r>
    </w:p>
    <w:p w14:paraId="3B567578" w14:textId="00B6668C" w:rsidR="00BD0A93" w:rsidRPr="00BD0A93" w:rsidRDefault="00BD0A93" w:rsidP="00BD0A93">
      <w:pPr>
        <w:jc w:val="center"/>
        <w:rPr>
          <w:rtl/>
          <w:lang w:bidi="he-IL"/>
        </w:rPr>
      </w:pPr>
      <w:r w:rsidRPr="00BD0A93">
        <w:rPr>
          <w:rFonts w:hint="cs"/>
          <w:b/>
          <w:bCs/>
          <w:sz w:val="30"/>
          <w:szCs w:val="30"/>
          <w:u w:val="single"/>
          <w:rtl/>
          <w:lang w:bidi="he-IL"/>
        </w:rPr>
        <w:t>הזמה</w:t>
      </w:r>
      <w:r w:rsidRPr="00BD0A93">
        <w:rPr>
          <w:rFonts w:hint="cs"/>
          <w:rtl/>
          <w:lang w:bidi="he-IL"/>
        </w:rPr>
        <w:t xml:space="preserve"> (#</w:t>
      </w:r>
      <w:r>
        <w:rPr>
          <w:rFonts w:hint="cs"/>
          <w:rtl/>
          <w:lang w:bidi="he-IL"/>
        </w:rPr>
        <w:t>9</w:t>
      </w:r>
      <w:r w:rsidRPr="00BD0A93">
        <w:rPr>
          <w:rFonts w:hint="cs"/>
          <w:rtl/>
          <w:lang w:bidi="he-IL"/>
        </w:rPr>
        <w:t>)</w:t>
      </w:r>
    </w:p>
    <w:p w14:paraId="6E746B8F" w14:textId="7353D9CD" w:rsidR="008530F9" w:rsidRDefault="00BD0A93" w:rsidP="00BD0A93">
      <w:pPr>
        <w:jc w:val="right"/>
        <w:rPr>
          <w:u w:val="single"/>
          <w:rtl/>
          <w:lang w:bidi="he-IL"/>
        </w:rPr>
      </w:pPr>
      <w:r>
        <w:rPr>
          <w:rFonts w:hint="cs"/>
          <w:u w:val="single"/>
          <w:rtl/>
          <w:lang w:bidi="he-IL"/>
        </w:rPr>
        <w:t>נידון בר חיובא</w:t>
      </w:r>
    </w:p>
    <w:p w14:paraId="72D792B2" w14:textId="56C8A4BD" w:rsidR="00BD0A93" w:rsidRDefault="00BD0A93" w:rsidP="00BD0A93">
      <w:pPr>
        <w:jc w:val="right"/>
        <w:rPr>
          <w:rtl/>
          <w:lang w:bidi="he-IL"/>
        </w:rPr>
      </w:pPr>
      <w:r w:rsidRPr="00BD0A93">
        <w:rPr>
          <w:rFonts w:hint="cs"/>
          <w:b/>
          <w:bCs/>
          <w:rtl/>
          <w:lang w:bidi="he-IL"/>
        </w:rPr>
        <w:t>משנה</w:t>
      </w:r>
      <w:r>
        <w:rPr>
          <w:rFonts w:hint="cs"/>
          <w:b/>
          <w:bCs/>
          <w:rtl/>
          <w:lang w:bidi="he-IL"/>
        </w:rPr>
        <w:t xml:space="preserve"> </w:t>
      </w:r>
      <w:r w:rsidRPr="00BD0A93">
        <w:rPr>
          <w:rFonts w:hint="cs"/>
          <w:rtl/>
          <w:lang w:bidi="he-IL"/>
        </w:rPr>
        <w:t>ו:</w:t>
      </w:r>
      <w:r>
        <w:rPr>
          <w:rFonts w:hint="cs"/>
          <w:rtl/>
          <w:lang w:bidi="he-IL"/>
        </w:rPr>
        <w:t xml:space="preserve"> ["היו שנים... והשניה פטורה"], </w:t>
      </w:r>
      <w:r w:rsidRPr="00BD0A93">
        <w:rPr>
          <w:rFonts w:hint="cs"/>
          <w:b/>
          <w:bCs/>
          <w:rtl/>
          <w:lang w:bidi="he-IL"/>
        </w:rPr>
        <w:t>רש"י</w:t>
      </w:r>
      <w:r>
        <w:rPr>
          <w:rFonts w:hint="cs"/>
          <w:rtl/>
          <w:lang w:bidi="he-IL"/>
        </w:rPr>
        <w:t xml:space="preserve"> שם</w:t>
      </w:r>
    </w:p>
    <w:p w14:paraId="6A64C358" w14:textId="6D73D245" w:rsidR="00BD0A93" w:rsidRDefault="00BD0A93" w:rsidP="00BD0A93">
      <w:pPr>
        <w:jc w:val="right"/>
        <w:rPr>
          <w:rtl/>
          <w:lang w:bidi="he-IL"/>
        </w:rPr>
      </w:pPr>
      <w:r w:rsidRPr="00BD0A93">
        <w:rPr>
          <w:rFonts w:hint="cs"/>
          <w:b/>
          <w:bCs/>
          <w:rtl/>
          <w:lang w:bidi="he-IL"/>
        </w:rPr>
        <w:t>גמ'</w:t>
      </w:r>
      <w:r>
        <w:rPr>
          <w:rFonts w:hint="cs"/>
          <w:b/>
          <w:bCs/>
          <w:rtl/>
          <w:lang w:bidi="he-IL"/>
        </w:rPr>
        <w:t xml:space="preserve"> </w:t>
      </w:r>
      <w:r w:rsidRPr="00BD0A93">
        <w:rPr>
          <w:rFonts w:hint="cs"/>
          <w:rtl/>
          <w:lang w:bidi="he-IL"/>
        </w:rPr>
        <w:t>ה.</w:t>
      </w:r>
      <w:r>
        <w:rPr>
          <w:rFonts w:hint="cs"/>
          <w:rtl/>
          <w:lang w:bidi="he-IL"/>
        </w:rPr>
        <w:t xml:space="preserve"> ["ואמר רבא באו שנים ואמרו בחד בשבתא..." עד סוף העמוד]</w:t>
      </w:r>
    </w:p>
    <w:p w14:paraId="0F568E04" w14:textId="39D8D517" w:rsidR="00BD0A93" w:rsidRDefault="00AB2330" w:rsidP="00BD0A93">
      <w:pPr>
        <w:jc w:val="right"/>
        <w:rPr>
          <w:rtl/>
          <w:lang w:bidi="he-IL"/>
        </w:rPr>
      </w:pPr>
      <w:r>
        <w:rPr>
          <w:rFonts w:hint="cs"/>
          <w:b/>
          <w:bCs/>
          <w:rtl/>
          <w:lang w:bidi="he-IL"/>
        </w:rPr>
        <w:t>רש"י</w:t>
      </w:r>
      <w:r>
        <w:rPr>
          <w:rFonts w:hint="cs"/>
          <w:rtl/>
          <w:lang w:bidi="he-IL"/>
        </w:rPr>
        <w:t xml:space="preserve"> שם</w:t>
      </w:r>
      <w:r w:rsidR="00B57D5E">
        <w:rPr>
          <w:rFonts w:hint="cs"/>
          <w:rtl/>
          <w:lang w:bidi="he-IL"/>
        </w:rPr>
        <w:t xml:space="preserve"> [בפרט ד"ה מאי טעמא, וכן לענין, הכי גרסינן</w:t>
      </w:r>
      <w:r w:rsidR="00123984">
        <w:rPr>
          <w:rFonts w:hint="cs"/>
          <w:rtl/>
          <w:lang w:bidi="he-IL"/>
        </w:rPr>
        <w:t>]</w:t>
      </w:r>
    </w:p>
    <w:p w14:paraId="4C4A1836" w14:textId="53A391B4" w:rsidR="00AB2330" w:rsidRDefault="00AB2330" w:rsidP="00BD0A93">
      <w:pPr>
        <w:jc w:val="right"/>
        <w:rPr>
          <w:rtl/>
          <w:lang w:bidi="he-IL"/>
        </w:rPr>
      </w:pPr>
      <w:r w:rsidRPr="00AB2330">
        <w:rPr>
          <w:rFonts w:hint="cs"/>
          <w:b/>
          <w:bCs/>
          <w:rtl/>
          <w:lang w:bidi="he-IL"/>
        </w:rPr>
        <w:t>תוספות</w:t>
      </w:r>
      <w:r>
        <w:rPr>
          <w:rFonts w:hint="cs"/>
          <w:rtl/>
          <w:lang w:bidi="he-IL"/>
        </w:rPr>
        <w:t xml:space="preserve"> שם (ד"ה דבעידנא, וכן)</w:t>
      </w:r>
    </w:p>
    <w:p w14:paraId="4519816E" w14:textId="2C5BF5CD" w:rsidR="00C3088C" w:rsidRPr="00C3088C" w:rsidRDefault="00C3088C" w:rsidP="00BD0A93">
      <w:pPr>
        <w:jc w:val="right"/>
        <w:rPr>
          <w:rtl/>
          <w:lang w:bidi="he-IL"/>
        </w:rPr>
      </w:pPr>
      <w:r w:rsidRPr="00C3088C">
        <w:rPr>
          <w:rFonts w:hint="cs"/>
          <w:b/>
          <w:bCs/>
          <w:rtl/>
          <w:lang w:bidi="he-IL"/>
        </w:rPr>
        <w:t>חי' הריטב"א</w:t>
      </w:r>
      <w:r>
        <w:rPr>
          <w:rFonts w:hint="cs"/>
          <w:rtl/>
          <w:lang w:bidi="he-IL"/>
        </w:rPr>
        <w:t xml:space="preserve"> שם (ד"ה ואמר רבא)</w:t>
      </w:r>
    </w:p>
    <w:p w14:paraId="2DC5BF96" w14:textId="05AA09D9" w:rsidR="00AB2330" w:rsidRDefault="000514AC" w:rsidP="00BD0A93">
      <w:pPr>
        <w:jc w:val="right"/>
        <w:rPr>
          <w:rtl/>
          <w:lang w:bidi="he-IL"/>
        </w:rPr>
      </w:pPr>
      <w:r w:rsidRPr="000514AC">
        <w:rPr>
          <w:rFonts w:hint="cs"/>
          <w:b/>
          <w:bCs/>
          <w:rtl/>
          <w:lang w:bidi="he-IL"/>
        </w:rPr>
        <w:t>גליון הש"ס</w:t>
      </w:r>
      <w:r>
        <w:rPr>
          <w:rFonts w:hint="cs"/>
          <w:b/>
          <w:bCs/>
          <w:rtl/>
          <w:lang w:bidi="he-IL"/>
        </w:rPr>
        <w:t xml:space="preserve"> </w:t>
      </w:r>
      <w:r w:rsidRPr="000514AC">
        <w:rPr>
          <w:rFonts w:hint="cs"/>
          <w:rtl/>
          <w:lang w:bidi="he-IL"/>
        </w:rPr>
        <w:t>שם</w:t>
      </w:r>
      <w:r>
        <w:rPr>
          <w:rFonts w:hint="cs"/>
          <w:rtl/>
          <w:lang w:bidi="he-IL"/>
        </w:rPr>
        <w:t xml:space="preserve"> (ד"ה תוס' ד"ה וכן)</w:t>
      </w:r>
    </w:p>
    <w:p w14:paraId="2E178D94" w14:textId="4C279359" w:rsidR="000514AC" w:rsidRDefault="000514AC" w:rsidP="000514AC">
      <w:pPr>
        <w:jc w:val="right"/>
        <w:rPr>
          <w:rtl/>
          <w:lang w:bidi="he-IL"/>
        </w:rPr>
      </w:pPr>
      <w:r w:rsidRPr="000514AC">
        <w:rPr>
          <w:b/>
          <w:bCs/>
          <w:rtl/>
          <w:lang w:bidi="he-IL"/>
        </w:rPr>
        <w:t xml:space="preserve">קובץ שעורים </w:t>
      </w:r>
      <w:r w:rsidRPr="000514AC">
        <w:rPr>
          <w:rtl/>
          <w:lang w:bidi="he-IL"/>
        </w:rPr>
        <w:t xml:space="preserve">בבא קמא </w:t>
      </w:r>
      <w:r>
        <w:rPr>
          <w:rFonts w:hint="cs"/>
          <w:rtl/>
          <w:lang w:bidi="he-IL"/>
        </w:rPr>
        <w:t>(</w:t>
      </w:r>
      <w:r w:rsidRPr="000514AC">
        <w:rPr>
          <w:rtl/>
          <w:lang w:bidi="he-IL"/>
        </w:rPr>
        <w:t>אות ס</w:t>
      </w:r>
      <w:r>
        <w:rPr>
          <w:rFonts w:hint="cs"/>
          <w:rtl/>
          <w:lang w:bidi="he-IL"/>
        </w:rPr>
        <w:t>')</w:t>
      </w:r>
      <w:r w:rsidR="009705E1">
        <w:rPr>
          <w:rFonts w:hint="cs"/>
          <w:rtl/>
          <w:lang w:bidi="he-IL"/>
        </w:rPr>
        <w:t xml:space="preserve"> [עד "... קודם גמ"ד"]</w:t>
      </w:r>
    </w:p>
    <w:p w14:paraId="254CAE1A" w14:textId="04206A4F" w:rsidR="00C542F7" w:rsidRDefault="00C542F7" w:rsidP="000514AC">
      <w:pPr>
        <w:jc w:val="right"/>
        <w:rPr>
          <w:rtl/>
          <w:lang w:bidi="he-IL"/>
        </w:rPr>
      </w:pPr>
      <w:r w:rsidRPr="00C542F7">
        <w:rPr>
          <w:rFonts w:hint="cs"/>
          <w:b/>
          <w:bCs/>
          <w:rtl/>
          <w:lang w:bidi="he-IL"/>
        </w:rPr>
        <w:t>משנה</w:t>
      </w:r>
      <w:r>
        <w:rPr>
          <w:rFonts w:hint="cs"/>
          <w:rtl/>
          <w:lang w:bidi="he-IL"/>
        </w:rPr>
        <w:t xml:space="preserve"> שבועות ל. ["שבועת העדות... להעיד"]</w:t>
      </w:r>
      <w:r w:rsidR="00802553">
        <w:rPr>
          <w:rFonts w:hint="cs"/>
          <w:rtl/>
          <w:lang w:bidi="he-IL"/>
        </w:rPr>
        <w:t xml:space="preserve">, </w:t>
      </w:r>
      <w:r w:rsidR="00802553" w:rsidRPr="00802553">
        <w:rPr>
          <w:rFonts w:hint="cs"/>
          <w:b/>
          <w:bCs/>
          <w:rtl/>
          <w:lang w:bidi="he-IL"/>
        </w:rPr>
        <w:t>רש"י</w:t>
      </w:r>
      <w:r w:rsidR="00802553">
        <w:rPr>
          <w:rFonts w:hint="cs"/>
          <w:rtl/>
          <w:lang w:bidi="he-IL"/>
        </w:rPr>
        <w:t xml:space="preserve"> שם</w:t>
      </w:r>
    </w:p>
    <w:p w14:paraId="6A9AFFA9" w14:textId="0428BCCA" w:rsidR="00802553" w:rsidRDefault="00802553" w:rsidP="000514AC">
      <w:pPr>
        <w:jc w:val="right"/>
        <w:rPr>
          <w:rtl/>
          <w:lang w:bidi="he-IL"/>
        </w:rPr>
      </w:pPr>
      <w:r w:rsidRPr="00802553">
        <w:rPr>
          <w:rFonts w:hint="cs"/>
          <w:b/>
          <w:bCs/>
          <w:rtl/>
          <w:lang w:bidi="he-IL"/>
        </w:rPr>
        <w:t>גמ'</w:t>
      </w:r>
      <w:r>
        <w:rPr>
          <w:rFonts w:hint="cs"/>
          <w:b/>
          <w:bCs/>
          <w:rtl/>
          <w:lang w:bidi="he-IL"/>
        </w:rPr>
        <w:t xml:space="preserve"> </w:t>
      </w:r>
      <w:r w:rsidRPr="00802553">
        <w:rPr>
          <w:rFonts w:hint="cs"/>
          <w:rtl/>
          <w:lang w:bidi="he-IL"/>
        </w:rPr>
        <w:t>שם</w:t>
      </w:r>
      <w:r>
        <w:rPr>
          <w:rFonts w:hint="cs"/>
          <w:rtl/>
          <w:lang w:bidi="he-IL"/>
        </w:rPr>
        <w:t xml:space="preserve"> לא. [</w:t>
      </w:r>
      <w:r w:rsidR="00E822A4">
        <w:rPr>
          <w:rFonts w:hint="cs"/>
          <w:rtl/>
          <w:lang w:bidi="he-IL"/>
        </w:rPr>
        <w:t xml:space="preserve">"אינה נוהגת... ורבנן הוא דפסלוהו"], </w:t>
      </w:r>
      <w:r w:rsidR="00E822A4" w:rsidRPr="00E822A4">
        <w:rPr>
          <w:rFonts w:hint="cs"/>
          <w:b/>
          <w:bCs/>
          <w:rtl/>
          <w:lang w:bidi="he-IL"/>
        </w:rPr>
        <w:t>רש"י</w:t>
      </w:r>
      <w:r w:rsidR="00E822A4">
        <w:rPr>
          <w:rFonts w:hint="cs"/>
          <w:rtl/>
          <w:lang w:bidi="he-IL"/>
        </w:rPr>
        <w:t xml:space="preserve"> שם [בפרט ד"ה אבל משחק בקוביא]</w:t>
      </w:r>
    </w:p>
    <w:p w14:paraId="089BC592" w14:textId="77D4219C" w:rsidR="00197644" w:rsidRDefault="00197644" w:rsidP="00197644">
      <w:pPr>
        <w:jc w:val="right"/>
        <w:rPr>
          <w:rtl/>
          <w:lang w:bidi="he-IL"/>
        </w:rPr>
      </w:pPr>
      <w:r w:rsidRPr="00197644">
        <w:rPr>
          <w:b/>
          <w:bCs/>
          <w:rtl/>
          <w:lang w:bidi="he-IL"/>
        </w:rPr>
        <w:t>חי</w:t>
      </w:r>
      <w:r w:rsidR="00C3088C">
        <w:rPr>
          <w:rFonts w:hint="cs"/>
          <w:b/>
          <w:bCs/>
          <w:rtl/>
          <w:lang w:bidi="he-IL"/>
        </w:rPr>
        <w:t>'</w:t>
      </w:r>
      <w:r w:rsidRPr="00197644">
        <w:rPr>
          <w:b/>
          <w:bCs/>
          <w:rtl/>
          <w:lang w:bidi="he-IL"/>
        </w:rPr>
        <w:t xml:space="preserve"> הריטב"א </w:t>
      </w:r>
      <w:r w:rsidRPr="00197644">
        <w:rPr>
          <w:rtl/>
          <w:lang w:bidi="he-IL"/>
        </w:rPr>
        <w:t>קידושין נו</w:t>
      </w:r>
      <w:r>
        <w:rPr>
          <w:rFonts w:hint="cs"/>
          <w:rtl/>
          <w:lang w:bidi="he-IL"/>
        </w:rPr>
        <w:t>:</w:t>
      </w:r>
      <w:r w:rsidRPr="00197644">
        <w:rPr>
          <w:rtl/>
          <w:lang w:bidi="he-IL"/>
        </w:rPr>
        <w:t xml:space="preserve"> </w:t>
      </w:r>
      <w:r>
        <w:rPr>
          <w:rFonts w:hint="cs"/>
          <w:rtl/>
          <w:lang w:bidi="he-IL"/>
        </w:rPr>
        <w:t xml:space="preserve">(ד"ה </w:t>
      </w:r>
      <w:r w:rsidRPr="00197644">
        <w:rPr>
          <w:rtl/>
          <w:lang w:bidi="he-IL"/>
        </w:rPr>
        <w:t>מתני' המקדש</w:t>
      </w:r>
      <w:r>
        <w:rPr>
          <w:rFonts w:hint="cs"/>
          <w:rtl/>
          <w:lang w:bidi="he-IL"/>
        </w:rPr>
        <w:t>)</w:t>
      </w:r>
      <w:r>
        <w:rPr>
          <w:rStyle w:val="FootnoteReference"/>
          <w:rtl/>
          <w:lang w:bidi="he-IL"/>
        </w:rPr>
        <w:footnoteReference w:id="1"/>
      </w:r>
    </w:p>
    <w:p w14:paraId="1D161DE7" w14:textId="2AA4F955" w:rsidR="00F05461" w:rsidRPr="00F05461" w:rsidRDefault="00F05461" w:rsidP="00F05461">
      <w:pPr>
        <w:jc w:val="right"/>
        <w:rPr>
          <w:lang w:bidi="he-IL"/>
        </w:rPr>
      </w:pPr>
      <w:r w:rsidRPr="00F05461">
        <w:rPr>
          <w:b/>
          <w:bCs/>
          <w:rtl/>
          <w:lang w:bidi="he-IL"/>
        </w:rPr>
        <w:t>חי</w:t>
      </w:r>
      <w:r w:rsidR="00C3088C">
        <w:rPr>
          <w:rFonts w:hint="cs"/>
          <w:b/>
          <w:bCs/>
          <w:rtl/>
          <w:lang w:bidi="he-IL"/>
        </w:rPr>
        <w:t>'</w:t>
      </w:r>
      <w:r w:rsidRPr="00F05461">
        <w:rPr>
          <w:b/>
          <w:bCs/>
          <w:rtl/>
          <w:lang w:bidi="he-IL"/>
        </w:rPr>
        <w:t xml:space="preserve"> הריטב"א </w:t>
      </w:r>
      <w:r w:rsidRPr="00F05461">
        <w:rPr>
          <w:rtl/>
          <w:lang w:bidi="he-IL"/>
        </w:rPr>
        <w:t>קידושין נח</w:t>
      </w:r>
      <w:r>
        <w:rPr>
          <w:rFonts w:hint="cs"/>
          <w:rtl/>
          <w:lang w:bidi="he-IL"/>
        </w:rPr>
        <w:t>.</w:t>
      </w:r>
      <w:r w:rsidRPr="00F05461">
        <w:rPr>
          <w:rtl/>
          <w:lang w:bidi="he-IL"/>
        </w:rPr>
        <w:t xml:space="preserve"> </w:t>
      </w:r>
      <w:r>
        <w:rPr>
          <w:rFonts w:hint="cs"/>
          <w:rtl/>
          <w:lang w:bidi="he-IL"/>
        </w:rPr>
        <w:t>(ד"ה אלמא קסבר)</w:t>
      </w:r>
      <w:r>
        <w:rPr>
          <w:rStyle w:val="FootnoteReference"/>
          <w:rtl/>
          <w:lang w:bidi="he-IL"/>
        </w:rPr>
        <w:footnoteReference w:id="2"/>
      </w:r>
    </w:p>
    <w:p w14:paraId="73CC9AB9" w14:textId="0B5892D6" w:rsidR="00197644" w:rsidRDefault="00197644" w:rsidP="000514AC">
      <w:pPr>
        <w:jc w:val="right"/>
        <w:rPr>
          <w:b/>
          <w:bCs/>
          <w:rtl/>
          <w:lang w:bidi="he-IL"/>
        </w:rPr>
      </w:pPr>
    </w:p>
    <w:p w14:paraId="6005D74F" w14:textId="5B21DB0C" w:rsidR="00197644" w:rsidRDefault="00197644" w:rsidP="000514AC">
      <w:pPr>
        <w:jc w:val="right"/>
        <w:rPr>
          <w:b/>
          <w:bCs/>
          <w:rtl/>
          <w:lang w:bidi="he-IL"/>
        </w:rPr>
      </w:pPr>
    </w:p>
    <w:p w14:paraId="43F968B2" w14:textId="77777777" w:rsidR="00197644" w:rsidRPr="00197644" w:rsidRDefault="00197644" w:rsidP="00197644">
      <w:pPr>
        <w:jc w:val="right"/>
        <w:rPr>
          <w:u w:val="single"/>
        </w:rPr>
      </w:pPr>
      <w:r w:rsidRPr="00197644">
        <w:rPr>
          <w:rFonts w:cs="Arial"/>
          <w:u w:val="single"/>
          <w:rtl/>
          <w:lang w:bidi="he-IL"/>
        </w:rPr>
        <w:t>חידושי הריטב"א מסכת קידושין דף נו עמוד ב</w:t>
      </w:r>
    </w:p>
    <w:p w14:paraId="3CDD4409" w14:textId="55DB4EFC" w:rsidR="00197644" w:rsidRDefault="00197644" w:rsidP="00197644">
      <w:pPr>
        <w:jc w:val="right"/>
        <w:rPr>
          <w:rFonts w:cs="Arial"/>
          <w:rtl/>
          <w:lang w:bidi="he-IL"/>
        </w:rPr>
      </w:pPr>
      <w:r w:rsidRPr="00197644">
        <w:rPr>
          <w:rFonts w:cs="Arial"/>
          <w:rtl/>
          <w:lang w:bidi="he-IL"/>
        </w:rPr>
        <w:t>מתני' המקדש בערלה וכלאי הכרם. דאיסורי הנאה נינהו אינה מקודשת, ואיכא דקשיא ליה אמאי אינה מקודשת בערלה דהא אפשר ליהנות בה שלא כדרך הנאתה, כדאמרינן בפרק כל שעה (פסחים כ"ד ב') כל איסורין שבתורה אין לוקין עליהם אלא כדרך הנאתן, ולאו מילתא היא דנהי דלית בהו איסורא דאורייתא איסורא דרבנן מיהא איכא, והמקדש באיסורי הנאה דרבנן כגון סתם יינם וכיוצא בו אינה מקודשת, וכדאמרינן בפסחים (ז' א') המקדש אשה בחמץ משש שעות ולמעלה ואפילו בחטי קורדנייתא דשרירן ויבישן שאינם חמץ מן התורה אלא נוקשה דרבנן אינה מקודשת, ואף על גב דהמקדש בעדים פסולים מדרבנן מקודשת, אומר מורי נר"ו דלא דמי דהתם איכא עדות מעליא מן התורה ומקודשת של תורה היא ולא מפקעי רבנן קדושי דאורייתא בכדי, אבל הכא כיון דאמר רחמנא דליתיב לה ממונא ומאי דיהיב לה השתא לאו ממונא הוא דהא איסורא דרבנן עלה לא מיקדשא כלל</w:t>
      </w:r>
      <w:r>
        <w:rPr>
          <w:rFonts w:cs="Arial" w:hint="cs"/>
          <w:rtl/>
          <w:lang w:bidi="he-IL"/>
        </w:rPr>
        <w:t>.</w:t>
      </w:r>
    </w:p>
    <w:p w14:paraId="3692A068" w14:textId="77777777" w:rsidR="00793ABE" w:rsidRPr="00793ABE" w:rsidRDefault="00793ABE" w:rsidP="00793ABE">
      <w:pPr>
        <w:jc w:val="right"/>
        <w:rPr>
          <w:rFonts w:cs="Arial"/>
          <w:u w:val="single"/>
        </w:rPr>
      </w:pPr>
      <w:r w:rsidRPr="00793ABE">
        <w:rPr>
          <w:rFonts w:cs="Arial"/>
          <w:u w:val="single"/>
          <w:rtl/>
          <w:lang w:bidi="he-IL"/>
        </w:rPr>
        <w:t>חידושי הריטב"א מסכת קידושין דף נח עמוד א</w:t>
      </w:r>
    </w:p>
    <w:p w14:paraId="5640E67B" w14:textId="1FE509E6" w:rsidR="00793ABE" w:rsidRPr="00197644" w:rsidRDefault="00793ABE" w:rsidP="00F05461">
      <w:pPr>
        <w:jc w:val="right"/>
        <w:rPr>
          <w:rtl/>
          <w:lang w:bidi="he-IL"/>
        </w:rPr>
      </w:pPr>
      <w:r w:rsidRPr="00793ABE">
        <w:rPr>
          <w:rFonts w:cs="Arial"/>
          <w:rtl/>
          <w:lang w:bidi="he-IL"/>
        </w:rPr>
        <w:t>אלמא קסבר רבי שמעון חולין שנשחטו בעזרה לאו דאורייתא</w:t>
      </w:r>
      <w:r>
        <w:rPr>
          <w:rFonts w:cs="Arial" w:hint="cs"/>
          <w:rtl/>
          <w:lang w:bidi="he-IL"/>
        </w:rPr>
        <w:t xml:space="preserve">. </w:t>
      </w:r>
      <w:r w:rsidRPr="00793ABE">
        <w:rPr>
          <w:rtl/>
          <w:lang w:bidi="he-IL"/>
        </w:rPr>
        <w:t>איכא למידק דמשמע מהכא דכיון דחולין שנשחטו בעזרה אינן אלא מדרבנן מקודשת אלמא המקדש באיסורי הנאה דרבנן מקודשת</w:t>
      </w:r>
      <w:r w:rsidRPr="00793ABE">
        <w:rPr>
          <w:rFonts w:hint="cs"/>
          <w:rtl/>
          <w:lang w:bidi="he-IL"/>
        </w:rPr>
        <w:t xml:space="preserve">... </w:t>
      </w:r>
      <w:r w:rsidRPr="00793ABE">
        <w:rPr>
          <w:rtl/>
          <w:lang w:bidi="he-IL"/>
        </w:rPr>
        <w:t>מיהו הא ודאי קשיא מדאמרינן בפרק קמא דפסחים (ז' א')</w:t>
      </w:r>
      <w:r w:rsidR="00F05461">
        <w:rPr>
          <w:rFonts w:hint="cs"/>
          <w:rtl/>
          <w:lang w:bidi="he-IL"/>
        </w:rPr>
        <w:t xml:space="preserve"> </w:t>
      </w:r>
      <w:r w:rsidR="00F05461">
        <w:rPr>
          <w:rFonts w:cs="Arial"/>
          <w:rtl/>
          <w:lang w:bidi="he-IL"/>
        </w:rPr>
        <w:t>אמר רב המקדש בחמץ משש שעות ולמעלה אפילו בחיטי קורדנייתא דהוי חמץ נוקשה דאיסוריה מדרבנן אין חוששין לקדושין</w:t>
      </w:r>
      <w:r w:rsidRPr="00793ABE">
        <w:rPr>
          <w:rFonts w:hint="cs"/>
          <w:rtl/>
          <w:lang w:bidi="he-IL"/>
        </w:rPr>
        <w:t xml:space="preserve">... </w:t>
      </w:r>
      <w:r w:rsidRPr="00793ABE">
        <w:rPr>
          <w:rtl/>
          <w:lang w:bidi="he-IL"/>
        </w:rPr>
        <w:t>ומיהו ההיא לא קשיא דמימרא הוא ואליבא [דרבי מאיר] ומאן לימא לן דמודה בה רבי שמעון</w:t>
      </w:r>
      <w:r w:rsidR="00F05461">
        <w:rPr>
          <w:rFonts w:hint="cs"/>
          <w:rtl/>
          <w:lang w:bidi="he-IL"/>
        </w:rPr>
        <w:t>.</w:t>
      </w:r>
    </w:p>
    <w:p w14:paraId="04C30832" w14:textId="77777777" w:rsidR="009705E1" w:rsidRPr="000514AC" w:rsidRDefault="009705E1" w:rsidP="000514AC">
      <w:pPr>
        <w:jc w:val="right"/>
        <w:rPr>
          <w:b/>
          <w:bCs/>
          <w:lang w:bidi="he-IL"/>
        </w:rPr>
      </w:pPr>
    </w:p>
    <w:p w14:paraId="6E4AE511" w14:textId="491E24A7" w:rsidR="000514AC" w:rsidRPr="000514AC" w:rsidRDefault="000514AC" w:rsidP="00123984">
      <w:pPr>
        <w:rPr>
          <w:lang w:bidi="he-IL"/>
        </w:rPr>
      </w:pPr>
    </w:p>
    <w:sectPr w:rsidR="000514AC" w:rsidRPr="00051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461F" w14:textId="77777777" w:rsidR="008E4B90" w:rsidRDefault="008E4B90" w:rsidP="000514AC">
      <w:pPr>
        <w:spacing w:after="0" w:line="240" w:lineRule="auto"/>
      </w:pPr>
      <w:r>
        <w:separator/>
      </w:r>
    </w:p>
  </w:endnote>
  <w:endnote w:type="continuationSeparator" w:id="0">
    <w:p w14:paraId="03C5750A" w14:textId="77777777" w:rsidR="008E4B90" w:rsidRDefault="008E4B90" w:rsidP="0005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96D0" w14:textId="77777777" w:rsidR="008E4B90" w:rsidRDefault="008E4B90" w:rsidP="000514AC">
      <w:pPr>
        <w:spacing w:after="0" w:line="240" w:lineRule="auto"/>
      </w:pPr>
      <w:r>
        <w:separator/>
      </w:r>
    </w:p>
  </w:footnote>
  <w:footnote w:type="continuationSeparator" w:id="0">
    <w:p w14:paraId="31D6545B" w14:textId="77777777" w:rsidR="008E4B90" w:rsidRDefault="008E4B90" w:rsidP="000514AC">
      <w:pPr>
        <w:spacing w:after="0" w:line="240" w:lineRule="auto"/>
      </w:pPr>
      <w:r>
        <w:continuationSeparator/>
      </w:r>
    </w:p>
  </w:footnote>
  <w:footnote w:id="1">
    <w:p w14:paraId="6CD5A835" w14:textId="64D0F2A5" w:rsidR="00197644" w:rsidRPr="00F05461" w:rsidRDefault="00197644" w:rsidP="00F05461">
      <w:pPr>
        <w:pStyle w:val="FootnoteText"/>
        <w:rPr>
          <w:sz w:val="16"/>
          <w:szCs w:val="16"/>
          <w:rtl/>
          <w:lang w:bidi="he-IL"/>
        </w:rPr>
      </w:pPr>
      <w:r w:rsidRPr="00F05461">
        <w:rPr>
          <w:rStyle w:val="FootnoteReference"/>
          <w:sz w:val="16"/>
          <w:szCs w:val="16"/>
        </w:rPr>
        <w:footnoteRef/>
      </w:r>
      <w:r w:rsidRPr="00F05461">
        <w:rPr>
          <w:sz w:val="16"/>
          <w:szCs w:val="16"/>
        </w:rPr>
        <w:t xml:space="preserve"> </w:t>
      </w:r>
      <w:r w:rsidR="00F05461" w:rsidRPr="00F05461">
        <w:rPr>
          <w:rFonts w:hint="cs"/>
          <w:sz w:val="16"/>
          <w:szCs w:val="16"/>
        </w:rPr>
        <w:t>S</w:t>
      </w:r>
      <w:r w:rsidR="00F05461" w:rsidRPr="00F05461">
        <w:rPr>
          <w:sz w:val="16"/>
          <w:szCs w:val="16"/>
        </w:rPr>
        <w:t>ee below</w:t>
      </w:r>
    </w:p>
  </w:footnote>
  <w:footnote w:id="2">
    <w:p w14:paraId="7F83EF19" w14:textId="70EC3D60" w:rsidR="00F05461" w:rsidRPr="00F05461" w:rsidRDefault="00F05461">
      <w:pPr>
        <w:pStyle w:val="FootnoteText"/>
        <w:rPr>
          <w:sz w:val="16"/>
          <w:szCs w:val="16"/>
          <w:lang w:bidi="he-IL"/>
        </w:rPr>
      </w:pPr>
      <w:r w:rsidRPr="00F05461">
        <w:rPr>
          <w:rStyle w:val="FootnoteReference"/>
          <w:sz w:val="16"/>
          <w:szCs w:val="16"/>
        </w:rPr>
        <w:footnoteRef/>
      </w:r>
      <w:r w:rsidRPr="00F05461">
        <w:rPr>
          <w:sz w:val="16"/>
          <w:szCs w:val="16"/>
        </w:rPr>
        <w:t xml:space="preserve"> </w:t>
      </w:r>
      <w:r w:rsidRPr="00F05461">
        <w:rPr>
          <w:rFonts w:hint="cs"/>
          <w:sz w:val="16"/>
          <w:szCs w:val="16"/>
          <w:lang w:bidi="he-IL"/>
        </w:rPr>
        <w:t>S</w:t>
      </w:r>
      <w:r w:rsidRPr="00F05461">
        <w:rPr>
          <w:sz w:val="16"/>
          <w:szCs w:val="16"/>
          <w:lang w:bidi="he-IL"/>
        </w:rPr>
        <w:t xml:space="preserve">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93"/>
    <w:rsid w:val="000514AC"/>
    <w:rsid w:val="00123984"/>
    <w:rsid w:val="00197644"/>
    <w:rsid w:val="006E526E"/>
    <w:rsid w:val="007641FC"/>
    <w:rsid w:val="00793ABE"/>
    <w:rsid w:val="00802553"/>
    <w:rsid w:val="008A1AE2"/>
    <w:rsid w:val="008E4B90"/>
    <w:rsid w:val="009705E1"/>
    <w:rsid w:val="00A46F84"/>
    <w:rsid w:val="00AB2330"/>
    <w:rsid w:val="00B57D5E"/>
    <w:rsid w:val="00BD0A93"/>
    <w:rsid w:val="00C3088C"/>
    <w:rsid w:val="00C542F7"/>
    <w:rsid w:val="00E822A4"/>
    <w:rsid w:val="00F054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B167"/>
  <w15:chartTrackingRefBased/>
  <w15:docId w15:val="{C29B7E2F-0377-4599-8FDA-891006D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4AC"/>
    <w:rPr>
      <w:sz w:val="20"/>
      <w:szCs w:val="20"/>
    </w:rPr>
  </w:style>
  <w:style w:type="character" w:styleId="FootnoteReference">
    <w:name w:val="footnote reference"/>
    <w:basedOn w:val="DefaultParagraphFont"/>
    <w:uiPriority w:val="99"/>
    <w:semiHidden/>
    <w:unhideWhenUsed/>
    <w:rsid w:val="00051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2022-07-10T01:44:00Z</dcterms:created>
  <dcterms:modified xsi:type="dcterms:W3CDTF">2022-07-10T14:05:00Z</dcterms:modified>
</cp:coreProperties>
</file>