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269B" w14:textId="77777777" w:rsidR="000E0A3F" w:rsidRPr="000E0A3F" w:rsidRDefault="000E0A3F" w:rsidP="000E0A3F">
      <w:pPr>
        <w:jc w:val="right"/>
        <w:rPr>
          <w:rtl/>
          <w:lang w:bidi="he-IL"/>
        </w:rPr>
      </w:pPr>
      <w:r w:rsidRPr="000E0A3F">
        <w:rPr>
          <w:rFonts w:hint="cs"/>
          <w:rtl/>
          <w:lang w:bidi="he-IL"/>
        </w:rPr>
        <w:t>הרב שמואל דוב ווייס</w:t>
      </w:r>
    </w:p>
    <w:p w14:paraId="7FD3DD33" w14:textId="31A3A909" w:rsidR="000E0A3F" w:rsidRPr="000E0A3F" w:rsidRDefault="000E0A3F" w:rsidP="000E0A3F">
      <w:pPr>
        <w:jc w:val="center"/>
        <w:rPr>
          <w:rtl/>
          <w:lang w:bidi="he-IL"/>
        </w:rPr>
      </w:pPr>
      <w:r w:rsidRPr="000E0A3F">
        <w:rPr>
          <w:rFonts w:hint="cs"/>
          <w:b/>
          <w:bCs/>
          <w:sz w:val="30"/>
          <w:szCs w:val="30"/>
          <w:u w:val="single"/>
          <w:rtl/>
          <w:lang w:bidi="he-IL"/>
        </w:rPr>
        <w:t>הזמה</w:t>
      </w:r>
      <w:r w:rsidRPr="000E0A3F">
        <w:rPr>
          <w:rFonts w:hint="cs"/>
          <w:rtl/>
          <w:lang w:bidi="he-IL"/>
        </w:rPr>
        <w:t xml:space="preserve"> (#</w:t>
      </w:r>
      <w:r>
        <w:rPr>
          <w:rFonts w:hint="cs"/>
          <w:rtl/>
          <w:lang w:bidi="he-IL"/>
        </w:rPr>
        <w:t>3</w:t>
      </w:r>
      <w:r w:rsidRPr="000E0A3F">
        <w:rPr>
          <w:rFonts w:hint="cs"/>
          <w:rtl/>
          <w:lang w:bidi="he-IL"/>
        </w:rPr>
        <w:t>)</w:t>
      </w:r>
    </w:p>
    <w:p w14:paraId="63A3DD66" w14:textId="63D22040" w:rsidR="008530F9" w:rsidRDefault="000E0A3F" w:rsidP="000E0A3F">
      <w:pPr>
        <w:jc w:val="right"/>
        <w:rPr>
          <w:lang w:bidi="he-IL"/>
        </w:rPr>
      </w:pPr>
      <w:r>
        <w:rPr>
          <w:rFonts w:hint="cs"/>
          <w:u w:val="single"/>
          <w:rtl/>
          <w:lang w:bidi="he-IL"/>
        </w:rPr>
        <w:t>"</w:t>
      </w:r>
      <w:r w:rsidRPr="000E0A3F">
        <w:rPr>
          <w:rFonts w:hint="cs"/>
          <w:u w:val="single"/>
          <w:rtl/>
          <w:lang w:bidi="he-IL"/>
        </w:rPr>
        <w:t>עד שיזימו את עצמן</w:t>
      </w:r>
      <w:r w:rsidRPr="000E0A3F">
        <w:rPr>
          <w:rFonts w:hint="cs"/>
          <w:rtl/>
          <w:lang w:bidi="he-IL"/>
        </w:rPr>
        <w:t>"</w:t>
      </w:r>
      <w:r w:rsidR="00C068AB">
        <w:rPr>
          <w:rStyle w:val="FootnoteReference"/>
          <w:rtl/>
          <w:lang w:bidi="he-IL"/>
        </w:rPr>
        <w:footnoteReference w:id="1"/>
      </w:r>
    </w:p>
    <w:p w14:paraId="32FF19FF" w14:textId="6EC61379" w:rsidR="003D25F4" w:rsidRDefault="003D25F4" w:rsidP="000E0A3F">
      <w:pPr>
        <w:jc w:val="right"/>
        <w:rPr>
          <w:lang w:bidi="he-IL"/>
        </w:rPr>
      </w:pPr>
      <w:r w:rsidRPr="003D25F4">
        <w:rPr>
          <w:rFonts w:hint="cs"/>
          <w:b/>
          <w:bCs/>
          <w:rtl/>
          <w:lang w:bidi="he-IL"/>
        </w:rPr>
        <w:t>משנה</w:t>
      </w:r>
      <w:r>
        <w:rPr>
          <w:rFonts w:hint="cs"/>
          <w:b/>
          <w:bCs/>
          <w:rtl/>
          <w:lang w:bidi="he-IL"/>
        </w:rPr>
        <w:t xml:space="preserve"> </w:t>
      </w:r>
      <w:r w:rsidRPr="003D25F4">
        <w:rPr>
          <w:rFonts w:hint="cs"/>
          <w:rtl/>
          <w:lang w:bidi="he-IL"/>
        </w:rPr>
        <w:t>ה.</w:t>
      </w:r>
      <w:r>
        <w:rPr>
          <w:rFonts w:hint="cs"/>
          <w:rtl/>
          <w:lang w:bidi="he-IL"/>
        </w:rPr>
        <w:t xml:space="preserve"> [עד "...ונהרגין על פיהם"], </w:t>
      </w:r>
      <w:r w:rsidRPr="003D25F4">
        <w:rPr>
          <w:rFonts w:hint="cs"/>
          <w:b/>
          <w:bCs/>
          <w:rtl/>
          <w:lang w:bidi="he-IL"/>
        </w:rPr>
        <w:t>רש"י</w:t>
      </w:r>
      <w:r>
        <w:rPr>
          <w:rFonts w:hint="cs"/>
          <w:rtl/>
          <w:lang w:bidi="he-IL"/>
        </w:rPr>
        <w:t xml:space="preserve"> שם, </w:t>
      </w:r>
      <w:r w:rsidRPr="003D25F4">
        <w:rPr>
          <w:rFonts w:hint="cs"/>
          <w:b/>
          <w:bCs/>
          <w:rtl/>
          <w:lang w:bidi="he-IL"/>
        </w:rPr>
        <w:t>תוס'</w:t>
      </w:r>
      <w:r>
        <w:rPr>
          <w:rFonts w:hint="cs"/>
          <w:b/>
          <w:bCs/>
          <w:rtl/>
          <w:lang w:bidi="he-IL"/>
        </w:rPr>
        <w:t xml:space="preserve"> </w:t>
      </w:r>
      <w:r w:rsidRPr="003D25F4">
        <w:rPr>
          <w:rFonts w:hint="cs"/>
          <w:rtl/>
          <w:lang w:bidi="he-IL"/>
        </w:rPr>
        <w:t>שם</w:t>
      </w:r>
      <w:r>
        <w:rPr>
          <w:rFonts w:hint="cs"/>
          <w:rtl/>
          <w:lang w:bidi="he-IL"/>
        </w:rPr>
        <w:t xml:space="preserve"> (ד"ה אין העדים)</w:t>
      </w:r>
    </w:p>
    <w:p w14:paraId="3FE60BB5" w14:textId="2EF0D403" w:rsidR="00C068AB" w:rsidRPr="00484CAA" w:rsidRDefault="00C068AB" w:rsidP="000E0A3F">
      <w:pPr>
        <w:jc w:val="right"/>
        <w:rPr>
          <w:rFonts w:hint="cs"/>
          <w:rtl/>
          <w:lang w:bidi="he-IL"/>
        </w:rPr>
      </w:pPr>
      <w:r w:rsidRPr="00C068AB">
        <w:rPr>
          <w:rFonts w:hint="cs"/>
          <w:b/>
          <w:bCs/>
          <w:rtl/>
          <w:lang w:bidi="he-IL"/>
        </w:rPr>
        <w:t>רבינו חננאל</w:t>
      </w:r>
      <w:r>
        <w:rPr>
          <w:rFonts w:hint="cs"/>
          <w:b/>
          <w:bCs/>
          <w:rtl/>
          <w:lang w:bidi="he-IL"/>
        </w:rPr>
        <w:t xml:space="preserve"> </w:t>
      </w:r>
      <w:r w:rsidRPr="00C068AB">
        <w:rPr>
          <w:rFonts w:hint="cs"/>
          <w:rtl/>
          <w:lang w:bidi="he-IL"/>
        </w:rPr>
        <w:t>שם</w:t>
      </w:r>
      <w:r>
        <w:rPr>
          <w:rFonts w:hint="cs"/>
          <w:rtl/>
          <w:lang w:bidi="he-IL"/>
        </w:rPr>
        <w:t xml:space="preserve"> (ד"ה מתני' אין העדים) [עד "... ונהרגין על פיהן"]</w:t>
      </w:r>
      <w:r w:rsidR="00484CAA">
        <w:rPr>
          <w:rFonts w:hint="cs"/>
          <w:rtl/>
          <w:lang w:bidi="he-IL"/>
        </w:rPr>
        <w:t xml:space="preserve">, </w:t>
      </w:r>
      <w:r w:rsidR="00484CAA" w:rsidRPr="00800DFF">
        <w:rPr>
          <w:rFonts w:hint="cs"/>
          <w:b/>
          <w:bCs/>
          <w:rtl/>
          <w:lang w:bidi="he-IL"/>
        </w:rPr>
        <w:t>ו</w:t>
      </w:r>
      <w:r w:rsidR="00484CAA" w:rsidRPr="00484CAA">
        <w:rPr>
          <w:rFonts w:hint="cs"/>
          <w:b/>
          <w:bCs/>
          <w:rtl/>
          <w:lang w:bidi="he-IL"/>
        </w:rPr>
        <w:t>חשק שלמה</w:t>
      </w:r>
      <w:r w:rsidR="00484CAA">
        <w:rPr>
          <w:rFonts w:hint="cs"/>
          <w:b/>
          <w:bCs/>
          <w:rtl/>
          <w:lang w:bidi="he-IL"/>
        </w:rPr>
        <w:t xml:space="preserve"> על ר"ח</w:t>
      </w:r>
      <w:r w:rsidR="00800DFF" w:rsidRPr="00800DFF">
        <w:rPr>
          <w:rStyle w:val="FootnoteReference"/>
          <w:rtl/>
          <w:lang w:bidi="he-IL"/>
        </w:rPr>
        <w:footnoteReference w:id="2"/>
      </w:r>
      <w:r w:rsidR="00484CAA" w:rsidRPr="00800DFF">
        <w:rPr>
          <w:rFonts w:hint="cs"/>
          <w:rtl/>
          <w:lang w:bidi="he-IL"/>
        </w:rPr>
        <w:t xml:space="preserve"> </w:t>
      </w:r>
      <w:r w:rsidR="00484CAA">
        <w:rPr>
          <w:rFonts w:hint="cs"/>
          <w:rtl/>
          <w:lang w:bidi="he-IL"/>
        </w:rPr>
        <w:t>(אות א')</w:t>
      </w:r>
    </w:p>
    <w:p w14:paraId="68704CEC" w14:textId="2ED0485B" w:rsidR="003D25F4" w:rsidRDefault="003D25F4" w:rsidP="000E0A3F">
      <w:pPr>
        <w:jc w:val="right"/>
        <w:rPr>
          <w:rtl/>
          <w:lang w:bidi="he-IL"/>
        </w:rPr>
      </w:pPr>
      <w:r w:rsidRPr="003D25F4">
        <w:rPr>
          <w:rFonts w:hint="cs"/>
          <w:b/>
          <w:bCs/>
          <w:rtl/>
          <w:lang w:bidi="he-IL"/>
        </w:rPr>
        <w:t>גמרא</w:t>
      </w:r>
      <w:r>
        <w:rPr>
          <w:rFonts w:hint="cs"/>
          <w:b/>
          <w:bCs/>
          <w:rtl/>
          <w:lang w:bidi="he-IL"/>
        </w:rPr>
        <w:t xml:space="preserve"> </w:t>
      </w:r>
      <w:r w:rsidRPr="003D25F4">
        <w:rPr>
          <w:rFonts w:hint="cs"/>
          <w:rtl/>
          <w:lang w:bidi="he-IL"/>
        </w:rPr>
        <w:t>שם</w:t>
      </w:r>
      <w:r>
        <w:rPr>
          <w:rFonts w:hint="cs"/>
          <w:rtl/>
          <w:lang w:bidi="he-IL"/>
        </w:rPr>
        <w:t xml:space="preserve"> ["מנא הני מילי... שתסרה גופה של עדות"], </w:t>
      </w:r>
      <w:r w:rsidRPr="003D25F4">
        <w:rPr>
          <w:rFonts w:hint="cs"/>
          <w:b/>
          <w:bCs/>
          <w:rtl/>
          <w:lang w:bidi="he-IL"/>
        </w:rPr>
        <w:t>רש"י</w:t>
      </w:r>
      <w:r>
        <w:rPr>
          <w:rFonts w:hint="cs"/>
          <w:b/>
          <w:bCs/>
          <w:rtl/>
          <w:lang w:bidi="he-IL"/>
        </w:rPr>
        <w:t xml:space="preserve"> </w:t>
      </w:r>
      <w:r w:rsidRPr="003D25F4">
        <w:rPr>
          <w:rFonts w:hint="cs"/>
          <w:rtl/>
          <w:lang w:bidi="he-IL"/>
        </w:rPr>
        <w:t>שם</w:t>
      </w:r>
    </w:p>
    <w:p w14:paraId="722093FA" w14:textId="56F34A0D" w:rsidR="00C068AB" w:rsidRDefault="00C068AB" w:rsidP="00C068AB">
      <w:pPr>
        <w:jc w:val="right"/>
        <w:rPr>
          <w:rtl/>
          <w:lang w:bidi="he-IL"/>
        </w:rPr>
      </w:pPr>
      <w:r w:rsidRPr="00C068AB">
        <w:rPr>
          <w:rFonts w:hint="cs"/>
          <w:b/>
          <w:bCs/>
          <w:rtl/>
          <w:lang w:bidi="he-IL"/>
        </w:rPr>
        <w:t>פירוש המשניות להרמב"ם</w:t>
      </w:r>
      <w:r w:rsidRPr="00C068AB">
        <w:rPr>
          <w:rFonts w:hint="cs"/>
          <w:rtl/>
          <w:lang w:bidi="he-IL"/>
        </w:rPr>
        <w:t xml:space="preserve"> (פ"א משנה ד' ד"ה אין העדים)</w:t>
      </w:r>
    </w:p>
    <w:p w14:paraId="4E6CB7B4" w14:textId="24179DEB" w:rsidR="00D27B8B" w:rsidRDefault="00D27B8B" w:rsidP="00C068AB">
      <w:pPr>
        <w:jc w:val="right"/>
        <w:rPr>
          <w:rtl/>
          <w:lang w:bidi="he-IL"/>
        </w:rPr>
      </w:pPr>
      <w:r w:rsidRPr="00D27B8B">
        <w:rPr>
          <w:rFonts w:hint="cs"/>
          <w:b/>
          <w:bCs/>
          <w:rtl/>
          <w:lang w:bidi="he-IL"/>
        </w:rPr>
        <w:t>מאירי</w:t>
      </w:r>
      <w:r>
        <w:rPr>
          <w:rFonts w:hint="cs"/>
          <w:rtl/>
          <w:lang w:bidi="he-IL"/>
        </w:rPr>
        <w:t xml:space="preserve"> שם (ד"ה המשנה השביעית, אמר המאירי) [עד "... על הדרך שביארנו"]</w:t>
      </w:r>
    </w:p>
    <w:p w14:paraId="247D6E3C" w14:textId="2EDF705F" w:rsidR="00800DFF" w:rsidRPr="00800DFF" w:rsidRDefault="00800DFF" w:rsidP="00800DFF">
      <w:pPr>
        <w:jc w:val="right"/>
        <w:rPr>
          <w:lang w:bidi="he-IL"/>
        </w:rPr>
      </w:pPr>
      <w:r w:rsidRPr="00800DFF">
        <w:rPr>
          <w:b/>
          <w:bCs/>
          <w:rtl/>
          <w:lang w:bidi="he-IL"/>
        </w:rPr>
        <w:t>ספר</w:t>
      </w:r>
      <w:r>
        <w:rPr>
          <w:rFonts w:asciiTheme="minorBidi" w:hAnsiTheme="minorBidi"/>
          <w:b/>
          <w:bCs/>
          <w:rtl/>
          <w:lang w:bidi="he-IL"/>
        </w:rPr>
        <w:t>ֵ</w:t>
      </w:r>
      <w:r w:rsidRPr="00800DFF">
        <w:rPr>
          <w:b/>
          <w:bCs/>
          <w:rtl/>
          <w:lang w:bidi="he-IL"/>
        </w:rPr>
        <w:t>י</w:t>
      </w:r>
      <w:r w:rsidRPr="00800DFF">
        <w:rPr>
          <w:rtl/>
          <w:lang w:bidi="he-IL"/>
        </w:rPr>
        <w:t xml:space="preserve"> דברים פרשת שופטים </w:t>
      </w:r>
      <w:r w:rsidR="00A64F19">
        <w:rPr>
          <w:rFonts w:hint="cs"/>
          <w:rtl/>
          <w:lang w:bidi="he-IL"/>
        </w:rPr>
        <w:t>(</w:t>
      </w:r>
      <w:r w:rsidRPr="00800DFF">
        <w:rPr>
          <w:rtl/>
          <w:lang w:bidi="he-IL"/>
        </w:rPr>
        <w:t>פיסקא קפ</w:t>
      </w:r>
      <w:r w:rsidR="00A64F19">
        <w:rPr>
          <w:rFonts w:hint="cs"/>
          <w:rtl/>
          <w:lang w:bidi="he-IL"/>
        </w:rPr>
        <w:t>"</w:t>
      </w:r>
      <w:r w:rsidRPr="00800DFF">
        <w:rPr>
          <w:rtl/>
          <w:lang w:bidi="he-IL"/>
        </w:rPr>
        <w:t>ט</w:t>
      </w:r>
      <w:r w:rsidR="00A64F19">
        <w:rPr>
          <w:rFonts w:hint="cs"/>
          <w:rtl/>
          <w:lang w:bidi="he-IL"/>
        </w:rPr>
        <w:t>)</w:t>
      </w:r>
      <w:r w:rsidR="00A64F19">
        <w:rPr>
          <w:rStyle w:val="FootnoteReference"/>
          <w:rtl/>
          <w:lang w:bidi="he-IL"/>
        </w:rPr>
        <w:footnoteReference w:id="3"/>
      </w:r>
    </w:p>
    <w:p w14:paraId="3912102C" w14:textId="29044ED3" w:rsidR="00800DFF" w:rsidRDefault="00BC2BD4" w:rsidP="00BC2BD4">
      <w:pPr>
        <w:jc w:val="right"/>
        <w:rPr>
          <w:rtl/>
          <w:lang w:bidi="he-IL"/>
        </w:rPr>
      </w:pPr>
      <w:r w:rsidRPr="00BC2BD4">
        <w:rPr>
          <w:b/>
          <w:bCs/>
          <w:rtl/>
          <w:lang w:bidi="he-IL"/>
        </w:rPr>
        <w:t>משפטי שבועות לרב האי גאון</w:t>
      </w:r>
      <w:r w:rsidRPr="00BC2BD4">
        <w:rPr>
          <w:rtl/>
          <w:lang w:bidi="he-IL"/>
        </w:rPr>
        <w:t xml:space="preserve"> </w:t>
      </w:r>
      <w:r>
        <w:rPr>
          <w:rFonts w:hint="cs"/>
          <w:rtl/>
          <w:lang w:bidi="he-IL"/>
        </w:rPr>
        <w:t>(</w:t>
      </w:r>
      <w:r w:rsidRPr="00BC2BD4">
        <w:rPr>
          <w:rtl/>
          <w:lang w:bidi="he-IL"/>
        </w:rPr>
        <w:t>חלק ב</w:t>
      </w:r>
      <w:r>
        <w:rPr>
          <w:rFonts w:hint="cs"/>
          <w:rtl/>
          <w:lang w:bidi="he-IL"/>
        </w:rPr>
        <w:t>'</w:t>
      </w:r>
      <w:r w:rsidRPr="00BC2BD4">
        <w:rPr>
          <w:rtl/>
          <w:lang w:bidi="he-IL"/>
        </w:rPr>
        <w:t xml:space="preserve"> שער ה</w:t>
      </w:r>
      <w:r>
        <w:rPr>
          <w:rFonts w:hint="cs"/>
          <w:rtl/>
          <w:lang w:bidi="he-IL"/>
        </w:rPr>
        <w:t>')</w:t>
      </w:r>
      <w:r>
        <w:rPr>
          <w:rStyle w:val="FootnoteReference"/>
          <w:rtl/>
          <w:lang w:bidi="he-IL"/>
        </w:rPr>
        <w:footnoteReference w:id="4"/>
      </w:r>
    </w:p>
    <w:p w14:paraId="653E8574" w14:textId="5A9FC12C" w:rsidR="00484CAA" w:rsidRPr="00484CAA" w:rsidRDefault="00484CAA" w:rsidP="00484CAA">
      <w:pPr>
        <w:jc w:val="right"/>
        <w:rPr>
          <w:b/>
          <w:bCs/>
          <w:lang w:bidi="he-IL"/>
        </w:rPr>
      </w:pPr>
      <w:r w:rsidRPr="00484CAA">
        <w:rPr>
          <w:b/>
          <w:bCs/>
          <w:rtl/>
          <w:lang w:bidi="he-IL"/>
        </w:rPr>
        <w:t xml:space="preserve">דרשות הר"ן </w:t>
      </w:r>
      <w:r w:rsidRPr="00484CAA">
        <w:rPr>
          <w:rFonts w:hint="cs"/>
          <w:rtl/>
          <w:lang w:bidi="he-IL"/>
        </w:rPr>
        <w:t>(</w:t>
      </w:r>
      <w:r w:rsidRPr="00484CAA">
        <w:rPr>
          <w:rtl/>
          <w:lang w:bidi="he-IL"/>
        </w:rPr>
        <w:t>דרוש י</w:t>
      </w:r>
      <w:r w:rsidRPr="00484CAA">
        <w:rPr>
          <w:rFonts w:hint="cs"/>
          <w:rtl/>
          <w:lang w:bidi="he-IL"/>
        </w:rPr>
        <w:t>"</w:t>
      </w:r>
      <w:r w:rsidRPr="00484CAA">
        <w:rPr>
          <w:rtl/>
          <w:lang w:bidi="he-IL"/>
        </w:rPr>
        <w:t>א</w:t>
      </w:r>
      <w:r w:rsidRPr="00484CAA">
        <w:rPr>
          <w:rFonts w:hint="cs"/>
          <w:rtl/>
          <w:lang w:bidi="he-IL"/>
        </w:rPr>
        <w:t>)</w:t>
      </w:r>
      <w:r w:rsidRPr="00484CAA">
        <w:rPr>
          <w:vertAlign w:val="superscript"/>
          <w:rtl/>
          <w:lang w:bidi="he-IL"/>
        </w:rPr>
        <w:footnoteReference w:id="5"/>
      </w:r>
      <w:r w:rsidRPr="00484CAA">
        <w:rPr>
          <w:rFonts w:hint="cs"/>
          <w:vertAlign w:val="superscript"/>
          <w:rtl/>
          <w:lang w:bidi="he-IL"/>
        </w:rPr>
        <w:t>,</w:t>
      </w:r>
      <w:r>
        <w:rPr>
          <w:rStyle w:val="FootnoteReference"/>
          <w:rtl/>
          <w:lang w:bidi="he-IL"/>
        </w:rPr>
        <w:footnoteReference w:id="6"/>
      </w:r>
    </w:p>
    <w:p w14:paraId="2A92A5DC" w14:textId="788FDDB2" w:rsidR="00484CAA" w:rsidRDefault="00484CAA" w:rsidP="00484CAA">
      <w:pPr>
        <w:jc w:val="right"/>
        <w:rPr>
          <w:rtl/>
          <w:lang w:bidi="he-IL"/>
        </w:rPr>
      </w:pPr>
      <w:r w:rsidRPr="00484CAA">
        <w:rPr>
          <w:rFonts w:hint="cs"/>
          <w:b/>
          <w:bCs/>
          <w:rtl/>
          <w:lang w:bidi="he-IL"/>
        </w:rPr>
        <w:t xml:space="preserve">פני יהושע ה. </w:t>
      </w:r>
      <w:r w:rsidRPr="00484CAA">
        <w:rPr>
          <w:rFonts w:hint="cs"/>
          <w:rtl/>
          <w:lang w:bidi="he-IL"/>
        </w:rPr>
        <w:t>(ד"ה ונראה לי להוסיף) [עד "... לשון הרמב"ם ז"ל"]</w:t>
      </w:r>
    </w:p>
    <w:p w14:paraId="0B399A34" w14:textId="06836B36" w:rsidR="001C385F" w:rsidRPr="001C385F" w:rsidRDefault="001C385F" w:rsidP="001C385F">
      <w:pPr>
        <w:jc w:val="right"/>
        <w:rPr>
          <w:b/>
          <w:bCs/>
          <w:lang w:bidi="he-IL"/>
        </w:rPr>
      </w:pPr>
      <w:r w:rsidRPr="001C385F">
        <w:rPr>
          <w:b/>
          <w:bCs/>
          <w:rtl/>
          <w:lang w:bidi="he-IL"/>
        </w:rPr>
        <w:t xml:space="preserve">שו"ת חתם סופר </w:t>
      </w:r>
      <w:r w:rsidRPr="001C385F">
        <w:rPr>
          <w:rFonts w:hint="cs"/>
          <w:rtl/>
          <w:lang w:bidi="he-IL"/>
        </w:rPr>
        <w:t>(</w:t>
      </w:r>
      <w:r w:rsidRPr="001C385F">
        <w:rPr>
          <w:rtl/>
          <w:lang w:bidi="he-IL"/>
        </w:rPr>
        <w:t>חלק ה (חושן משפט) סימן קמ</w:t>
      </w:r>
      <w:r w:rsidRPr="001C385F">
        <w:rPr>
          <w:rFonts w:hint="cs"/>
          <w:rtl/>
          <w:lang w:bidi="he-IL"/>
        </w:rPr>
        <w:t>"</w:t>
      </w:r>
      <w:r w:rsidRPr="001C385F">
        <w:rPr>
          <w:rtl/>
          <w:lang w:bidi="he-IL"/>
        </w:rPr>
        <w:t>א</w:t>
      </w:r>
      <w:r w:rsidRPr="001C385F">
        <w:rPr>
          <w:rFonts w:hint="cs"/>
          <w:rtl/>
          <w:lang w:bidi="he-IL"/>
        </w:rPr>
        <w:t>)</w:t>
      </w:r>
      <w:r>
        <w:rPr>
          <w:rStyle w:val="FootnoteReference"/>
          <w:rtl/>
          <w:lang w:bidi="he-IL"/>
        </w:rPr>
        <w:footnoteReference w:id="7"/>
      </w:r>
    </w:p>
    <w:p w14:paraId="55D86C92" w14:textId="368EED74" w:rsidR="00D27B8B" w:rsidRDefault="00D27B8B" w:rsidP="001C385F">
      <w:pPr>
        <w:rPr>
          <w:b/>
          <w:bCs/>
          <w:rtl/>
          <w:lang w:bidi="he-IL"/>
        </w:rPr>
      </w:pPr>
    </w:p>
    <w:p w14:paraId="24385668" w14:textId="77777777" w:rsidR="001C385F" w:rsidRDefault="001C385F" w:rsidP="001C385F">
      <w:pPr>
        <w:rPr>
          <w:lang w:bidi="he-IL"/>
        </w:rPr>
      </w:pPr>
    </w:p>
    <w:p w14:paraId="7A36B356" w14:textId="77777777" w:rsidR="00800DFF" w:rsidRPr="00800DFF" w:rsidRDefault="00800DFF" w:rsidP="00800DFF">
      <w:pPr>
        <w:jc w:val="right"/>
        <w:rPr>
          <w:u w:val="single"/>
        </w:rPr>
      </w:pPr>
      <w:r w:rsidRPr="00800DFF">
        <w:rPr>
          <w:rFonts w:cs="Arial"/>
          <w:u w:val="single"/>
          <w:rtl/>
          <w:lang w:bidi="he-IL"/>
        </w:rPr>
        <w:t>ספרי דברים פרשת שופטים פיסקא קפט</w:t>
      </w:r>
    </w:p>
    <w:p w14:paraId="7395B2C0" w14:textId="24BBD41C" w:rsidR="00484CAA" w:rsidRDefault="00800DFF" w:rsidP="00BC75C4">
      <w:pPr>
        <w:ind w:left="-180"/>
        <w:jc w:val="right"/>
        <w:rPr>
          <w:rFonts w:cs="Arial"/>
          <w:rtl/>
          <w:lang w:bidi="he-IL"/>
        </w:rPr>
      </w:pPr>
      <w:r>
        <w:rPr>
          <w:rFonts w:cs="Arial"/>
          <w:rtl/>
        </w:rPr>
        <w:t>(</w:t>
      </w:r>
      <w:r>
        <w:rPr>
          <w:rFonts w:cs="Arial"/>
          <w:rtl/>
          <w:lang w:bidi="he-IL"/>
        </w:rPr>
        <w:t xml:space="preserve">טז) </w:t>
      </w:r>
      <w:r w:rsidR="00A64F19">
        <w:rPr>
          <w:rFonts w:cs="Arial" w:hint="cs"/>
          <w:rtl/>
          <w:lang w:bidi="he-IL"/>
        </w:rPr>
        <w:t>'</w:t>
      </w:r>
      <w:r>
        <w:rPr>
          <w:rFonts w:cs="Arial"/>
          <w:rtl/>
          <w:lang w:bidi="he-IL"/>
        </w:rPr>
        <w:t>כי יקום עד חמס באיש לענות בו סרה</w:t>
      </w:r>
      <w:r w:rsidR="00A64F19">
        <w:rPr>
          <w:rFonts w:cs="Arial" w:hint="cs"/>
          <w:rtl/>
          <w:lang w:bidi="he-IL"/>
        </w:rPr>
        <w:t>'</w:t>
      </w:r>
      <w:r>
        <w:rPr>
          <w:rFonts w:cs="Arial"/>
          <w:rtl/>
          <w:lang w:bidi="he-IL"/>
        </w:rPr>
        <w:t xml:space="preserve">, אין חמס אלא גזלן. </w:t>
      </w:r>
      <w:r w:rsidR="00A64F19">
        <w:rPr>
          <w:rFonts w:cs="Arial" w:hint="cs"/>
          <w:rtl/>
          <w:lang w:bidi="he-IL"/>
        </w:rPr>
        <w:t>'</w:t>
      </w:r>
      <w:r>
        <w:rPr>
          <w:rFonts w:cs="Arial"/>
          <w:rtl/>
          <w:lang w:bidi="he-IL"/>
        </w:rPr>
        <w:t>לענות בו סרה</w:t>
      </w:r>
      <w:r w:rsidR="00A64F19">
        <w:rPr>
          <w:rFonts w:cs="Arial" w:hint="cs"/>
          <w:rtl/>
          <w:lang w:bidi="he-IL"/>
        </w:rPr>
        <w:t>'</w:t>
      </w:r>
      <w:r>
        <w:rPr>
          <w:rFonts w:cs="Arial"/>
          <w:rtl/>
          <w:lang w:bidi="he-IL"/>
        </w:rPr>
        <w:t xml:space="preserve">, אין סרה אלא עבירה שנאמר </w:t>
      </w:r>
      <w:r w:rsidR="00A64F19">
        <w:rPr>
          <w:rFonts w:cs="Arial" w:hint="cs"/>
          <w:rtl/>
          <w:lang w:bidi="he-IL"/>
        </w:rPr>
        <w:t>'</w:t>
      </w:r>
      <w:r>
        <w:rPr>
          <w:rFonts w:cs="Arial"/>
          <w:rtl/>
          <w:lang w:bidi="he-IL"/>
        </w:rPr>
        <w:t>כי דבר סרה</w:t>
      </w:r>
      <w:r w:rsidR="00A64F19">
        <w:rPr>
          <w:rFonts w:cs="Arial" w:hint="cs"/>
          <w:rtl/>
          <w:lang w:bidi="he-IL"/>
        </w:rPr>
        <w:t>'</w:t>
      </w:r>
      <w:r>
        <w:rPr>
          <w:rFonts w:cs="Arial"/>
          <w:rtl/>
          <w:lang w:bidi="he-IL"/>
        </w:rPr>
        <w:t xml:space="preserve">, ואומר </w:t>
      </w:r>
      <w:r w:rsidR="00A64F19">
        <w:rPr>
          <w:rFonts w:cs="Arial" w:hint="cs"/>
          <w:rtl/>
          <w:lang w:bidi="he-IL"/>
        </w:rPr>
        <w:t>(</w:t>
      </w:r>
      <w:r>
        <w:rPr>
          <w:rFonts w:cs="Arial"/>
          <w:rtl/>
          <w:lang w:bidi="he-IL"/>
        </w:rPr>
        <w:t>ירמיה כח טז</w:t>
      </w:r>
      <w:r w:rsidR="00A64F19">
        <w:rPr>
          <w:rFonts w:cs="Arial" w:hint="cs"/>
          <w:rtl/>
          <w:lang w:bidi="he-IL"/>
        </w:rPr>
        <w:t>)</w:t>
      </w:r>
      <w:r>
        <w:rPr>
          <w:rFonts w:cs="Arial"/>
          <w:rtl/>
          <w:lang w:bidi="he-IL"/>
        </w:rPr>
        <w:t xml:space="preserve"> השנה אתה מת כי סרה דברת על ה'. </w:t>
      </w:r>
      <w:r w:rsidR="00A64F19">
        <w:rPr>
          <w:rFonts w:cs="Arial" w:hint="cs"/>
          <w:rtl/>
          <w:lang w:bidi="he-IL"/>
        </w:rPr>
        <w:t>'</w:t>
      </w:r>
      <w:r>
        <w:rPr>
          <w:rFonts w:cs="Arial"/>
          <w:rtl/>
          <w:lang w:bidi="he-IL"/>
        </w:rPr>
        <w:t>[לענות בו]</w:t>
      </w:r>
      <w:r w:rsidR="00A64F19">
        <w:rPr>
          <w:rFonts w:cs="Arial" w:hint="cs"/>
          <w:rtl/>
          <w:lang w:bidi="he-IL"/>
        </w:rPr>
        <w:t>'</w:t>
      </w:r>
      <w:r>
        <w:rPr>
          <w:rFonts w:cs="Arial"/>
          <w:rtl/>
          <w:lang w:bidi="he-IL"/>
        </w:rPr>
        <w:t xml:space="preserve"> מגיד שאינו חייב עד שיכחיש את עצמו מיכן אמרו אין העדים נעשים זוממים עד שיזומו את עצמם כיצד מעיד אני באיש פלוני שהרג את הנפש</w:t>
      </w:r>
      <w:r w:rsidR="00BC75C4">
        <w:rPr>
          <w:rFonts w:cs="Arial" w:hint="cs"/>
          <w:rtl/>
          <w:lang w:bidi="he-IL"/>
        </w:rPr>
        <w:t xml:space="preserve"> </w:t>
      </w:r>
      <w:r>
        <w:rPr>
          <w:rFonts w:cs="Arial"/>
          <w:rtl/>
          <w:lang w:bidi="he-IL"/>
        </w:rPr>
        <w:t>וכו</w:t>
      </w:r>
      <w:r w:rsidR="00BC75C4">
        <w:rPr>
          <w:rFonts w:cs="Arial" w:hint="cs"/>
          <w:rtl/>
          <w:lang w:bidi="he-IL"/>
        </w:rPr>
        <w:t>'</w:t>
      </w:r>
      <w:r w:rsidR="00BC2BD4">
        <w:rPr>
          <w:rFonts w:cs="Arial" w:hint="cs"/>
          <w:rtl/>
          <w:lang w:bidi="he-IL"/>
        </w:rPr>
        <w:t>.</w:t>
      </w:r>
    </w:p>
    <w:p w14:paraId="4B83CDA5" w14:textId="77777777" w:rsidR="00BC2BD4" w:rsidRPr="00BC2BD4" w:rsidRDefault="00BC2BD4" w:rsidP="00BC2BD4">
      <w:pPr>
        <w:ind w:left="-180"/>
        <w:jc w:val="right"/>
        <w:rPr>
          <w:u w:val="single"/>
        </w:rPr>
      </w:pPr>
      <w:r w:rsidRPr="00BC2BD4">
        <w:rPr>
          <w:rFonts w:cs="Arial"/>
          <w:u w:val="single"/>
          <w:rtl/>
          <w:lang w:bidi="he-IL"/>
        </w:rPr>
        <w:t>משפטי שבועות לרב האי גאון חלק ב שער ה</w:t>
      </w:r>
    </w:p>
    <w:p w14:paraId="54C500CD" w14:textId="7383F41F" w:rsidR="00BC2BD4" w:rsidRDefault="00BC2BD4" w:rsidP="00BC2BD4">
      <w:pPr>
        <w:ind w:left="-180"/>
        <w:jc w:val="right"/>
        <w:rPr>
          <w:rFonts w:cs="Arial"/>
          <w:lang w:bidi="he-IL"/>
        </w:rPr>
      </w:pPr>
      <w:r>
        <w:rPr>
          <w:rFonts w:cs="Arial"/>
          <w:rtl/>
          <w:lang w:bidi="he-IL"/>
        </w:rPr>
        <w:t>ועוד נזכור איך דרך ההזמה, והוא כגון עדים שהעידו שראובן לוה משמעון ק' כסף בארץ ישראל ביום פלוני ובאו שנים אחרים ואמרו להם אותו היום עמנו והייתם בבבל והודו להם הראשונים על זה או ישתקו, בדרך הזה נעשו זוממין ובזה אמרה המשנה באי זה צד העדים נעשים זוממין, ואמרו (מכות ה' א') אין העידם נעשין זוממין עד שיזימו את עצמן כיצד מעידין אנו באיש פלוני שהרג את הנפש, אמרו להם היאך אתם מעידים שהרי הורג זה או הנהרג היה עמנו אותו היום במקום פלוני אין אלו זוממין, אבל אמרו להם היאך אתם מעידים שהרי אתם הייתם עמנו אותו היום במקום פלוני הרי אלו זוממין ונהרגין על פיהם. ולא תושלם ההזמה אלא בפני הניזומין ושיודו או ישתקו, ואם אינו בפניהם או לא שתקו אינה נקראת הזמה אלא הכחשה ובטלה העדות</w:t>
      </w:r>
      <w:r>
        <w:rPr>
          <w:rFonts w:cs="Arial" w:hint="cs"/>
          <w:rtl/>
          <w:lang w:bidi="he-IL"/>
        </w:rPr>
        <w:t>.</w:t>
      </w:r>
    </w:p>
    <w:p w14:paraId="28394A97" w14:textId="77777777" w:rsidR="009F6A19" w:rsidRDefault="009F6A19" w:rsidP="00BC2BD4">
      <w:pPr>
        <w:ind w:left="-180"/>
        <w:jc w:val="right"/>
        <w:rPr>
          <w:rFonts w:hint="cs"/>
          <w:rtl/>
          <w:lang w:bidi="he-IL"/>
        </w:rPr>
      </w:pPr>
    </w:p>
    <w:p w14:paraId="4859B88A" w14:textId="7467A9B1" w:rsidR="00484CAA" w:rsidRDefault="00484CAA" w:rsidP="00484CAA">
      <w:pPr>
        <w:jc w:val="right"/>
        <w:rPr>
          <w:u w:val="single"/>
          <w:lang w:bidi="he-IL"/>
        </w:rPr>
      </w:pPr>
      <w:r w:rsidRPr="00484CAA">
        <w:rPr>
          <w:u w:val="single"/>
          <w:rtl/>
          <w:lang w:bidi="he-IL"/>
        </w:rPr>
        <w:lastRenderedPageBreak/>
        <w:t>דרשות הר"ן דרוש י</w:t>
      </w:r>
      <w:r w:rsidRPr="00484CAA">
        <w:rPr>
          <w:rFonts w:hint="cs"/>
          <w:u w:val="single"/>
          <w:rtl/>
          <w:lang w:bidi="he-IL"/>
        </w:rPr>
        <w:t>"</w:t>
      </w:r>
      <w:r w:rsidRPr="00484CAA">
        <w:rPr>
          <w:u w:val="single"/>
          <w:rtl/>
          <w:lang w:bidi="he-IL"/>
        </w:rPr>
        <w:t>א</w:t>
      </w:r>
    </w:p>
    <w:p w14:paraId="47E5E309" w14:textId="64B45A6F" w:rsidR="00484CAA" w:rsidRPr="00484CAA" w:rsidRDefault="00484CAA" w:rsidP="00484CAA">
      <w:pPr>
        <w:jc w:val="right"/>
        <w:rPr>
          <w:lang w:bidi="he-IL"/>
        </w:rPr>
      </w:pPr>
      <w:r w:rsidRPr="00484CAA">
        <w:rPr>
          <w:rtl/>
          <w:lang w:bidi="he-IL"/>
        </w:rPr>
        <w:t>ידוע הוא שאפילו מי שמוחזק בשקר, אינו רגיל להיות משקר בדבר שהוא עשוי להתברר. ולפיכך אמרו רבותינו ז"ל (יבמות צג ב) דמלתא דעבידא לגלויי, אפילו קרוב ואפילו אשה נאמנין בכך. וידוע הוא שרוב המשקרים לא היו בודים מלבם דבר חדש שלא היה כלל, אבל במעשה אחר שנעשה, ישקרו וישנו צורתו ותכונתו, מפני שאין הדבר שישקרו בו עשוי להתברר, אחר אשר המעשה נעשה. ואם ימצא מכזב [ש]יהיה בודה מלבו מעשה (אחד) [חדש] לגמרי, יהיה זה זר מאד. אבל לא ימצא מכזב שיפליג בשיקרותו כל כך, שיעיד בדבר שהיה במקום אחד, והוא לא היה כלל באותו מקום, בזמן שהוא מעיד שנעשה המעשה ההוא, אם לא שיזדמן זה על צד תכלית הזרות הגמור, לפי שהמכזב ירא לנפשו מאותן בני אדם שראוהו במקום אחר, שיוכיחו עליו חרפתו. וידוע הוא שענין עדים זוממים הוא על זה הצד, שהם מעידים בדבר אחד שנעשה במקום פלוני ובזמן פלוני, והמזימין באין ואומרים שלא היו במקום ההוא כלל באותו זמן, והמצא מכזב בכיוצא בזה, רחוק מאד. ומפני רוחק מציאות זה, צותה התורה שקודם שנעניש העדים, נדרוש היטב אם הוא אפשר שהפליגו לשקר כיוצא בזה</w:t>
      </w:r>
      <w:r w:rsidRPr="00484CAA">
        <w:rPr>
          <w:rFonts w:hint="cs"/>
          <w:rtl/>
          <w:lang w:bidi="he-IL"/>
        </w:rPr>
        <w:t>.</w:t>
      </w:r>
      <w:r w:rsidRPr="00484CAA">
        <w:rPr>
          <w:lang w:bidi="he-IL"/>
        </w:rPr>
        <w:t xml:space="preserve"> </w:t>
      </w:r>
    </w:p>
    <w:p w14:paraId="35095542" w14:textId="77777777" w:rsidR="00484CAA" w:rsidRPr="00484CAA" w:rsidRDefault="00484CAA" w:rsidP="00484CAA">
      <w:pPr>
        <w:jc w:val="right"/>
        <w:rPr>
          <w:lang w:bidi="he-IL"/>
        </w:rPr>
      </w:pPr>
      <w:r w:rsidRPr="00484CAA">
        <w:rPr>
          <w:rtl/>
          <w:lang w:bidi="he-IL"/>
        </w:rPr>
        <w:t>ומפני זה הענין בעצמו, הוא שצותה התורה שנאמין לאחר דרישה טובה, המזימין, יותר מהמוזמין, ואף על פי דתרי ותרי נינהו, כמו שאמרו רבותינו ז"ל (סנהדרין כז א). והסיבה בזה, לפי שיותר רחוק שישקרו המזימין מהמוזמין. [ש]אף על פי ששניהם מכניסין עצמן בדבר הראוי להתברר, אף על פי כן המזימין מכניסין עצמן בזה יותר מהמוזמין, [כי המוזמין] אולי חשבו שלא ראם שום אדם במקום אחר באותו זמן, ולכן הכניסו עצמן באותו שקר, עם היותו זר, אבל המזימין, אם אין אמת כדבריהם, איך לא יראו [מ]המוזמין שיודעים האמת בעצמם, שיוכיחו שהאמת אתם, ויעידו זה אנשי אותו המקום שראום שם באותו זמן שאמר שנעשה המעשה ההוא, היה המעשה ההוא או לא היה. הנה אין ספק, שכל זמן שהמוזמים לא יבררו שהאמת כדבריהם, שראוי להאמין המזימין יותר</w:t>
      </w:r>
      <w:r w:rsidRPr="00484CAA">
        <w:rPr>
          <w:rFonts w:hint="cs"/>
          <w:rtl/>
          <w:lang w:bidi="he-IL"/>
        </w:rPr>
        <w:t>.</w:t>
      </w:r>
      <w:r w:rsidRPr="00484CAA">
        <w:rPr>
          <w:lang w:bidi="he-IL"/>
        </w:rPr>
        <w:t xml:space="preserve"> </w:t>
      </w:r>
    </w:p>
    <w:p w14:paraId="4218979F" w14:textId="59449891" w:rsidR="00484CAA" w:rsidRDefault="00484CAA" w:rsidP="00484CAA">
      <w:pPr>
        <w:jc w:val="right"/>
        <w:rPr>
          <w:rtl/>
          <w:lang w:bidi="he-IL"/>
        </w:rPr>
      </w:pPr>
      <w:r w:rsidRPr="00484CAA">
        <w:rPr>
          <w:rtl/>
          <w:lang w:bidi="he-IL"/>
        </w:rPr>
        <w:t>ולא יסתור [זה] מה שאמרו רבותינו ז"ל (שם) דעדים זוממין חידוש הוא, דמאי חזית דסמכת אהני, [דהם] רוצים לומר שאין דרך התורה לסמוך על הנראה מהמעשה אם הוא אמת אם לאו, כי אם על עדות שני עדים, שהרי האמינה התורה שני קלי עולם כל זמן שלא יהו פסולים להעיד, כמשה ושמואל שידענו בהם שלא ישנו שום דבר אפילו בשיחה קלה. הנה אם כן, [זה ש]נסמוך (יותר) כאן על המזימין יותר מהמוזמין, מפני היות דברי המזימין, יותר נראין שיהו אמת, הוא חידוש ויציאה מדרך התורה בשאר המקומות</w:t>
      </w:r>
      <w:r w:rsidRPr="00484CAA">
        <w:rPr>
          <w:rFonts w:hint="cs"/>
          <w:rtl/>
          <w:lang w:bidi="he-IL"/>
        </w:rPr>
        <w:t>.</w:t>
      </w:r>
    </w:p>
    <w:p w14:paraId="368ADE4B" w14:textId="77777777" w:rsidR="001C385F" w:rsidRPr="001C385F" w:rsidRDefault="001C385F" w:rsidP="001C385F">
      <w:pPr>
        <w:jc w:val="right"/>
        <w:rPr>
          <w:u w:val="single"/>
        </w:rPr>
      </w:pPr>
      <w:r w:rsidRPr="001C385F">
        <w:rPr>
          <w:rFonts w:cs="Arial"/>
          <w:u w:val="single"/>
          <w:rtl/>
          <w:lang w:bidi="he-IL"/>
        </w:rPr>
        <w:t>שו"ת חתם סופר חלק ה (חושן משפט) סימן קמא</w:t>
      </w:r>
    </w:p>
    <w:p w14:paraId="379DDF79" w14:textId="5760C5BE" w:rsidR="001C385F" w:rsidRPr="00484CAA" w:rsidRDefault="001C385F" w:rsidP="001C385F">
      <w:pPr>
        <w:jc w:val="right"/>
        <w:rPr>
          <w:lang w:bidi="he-IL"/>
        </w:rPr>
      </w:pPr>
      <w:r>
        <w:rPr>
          <w:rFonts w:cs="Arial"/>
          <w:rtl/>
          <w:lang w:bidi="he-IL"/>
        </w:rPr>
        <w:t>גי"ה הגיעני ראשית דבר נעמוד על דברי ראשונים לפרש דברי הגאון רבנו האי בספרו משפטי שבועות שער ה' שבנשבעי' ונוטלין דף ט"ז אעתיק לשונו אות באות וז"ל ואמרו אין העדים נעשי' זוממי' עד שיזומם את עצמו וכו' ולא תושלם ההזמה אלא בפני הני זוממין שיודו או ישתקו ואם אינו בפניהם או שלא שתקו אלא הכחשה ובטלה העדות עכ"ל לעניננו. ובאמת הוא דבר חדש שלא הוזכר בפוסקים ונראה דהוא ז"ל פי' כן לשון המשנה מכות ה' ע"א עד שיוזמו /שיזימו/ את עצמן משמע כפירושו שלא יכחשו או שיודו והרי מזימין את עצמן, וראיתי בתוס' במכות דף ה' ע"א דגרסי שיזימו עצמן ולא גרסי את עצמן ולזה יש לפרש כפירש"י ותוס' שיזימו עצמותו של עדות שיאמרו עמנו הייתם אבל לפי הגירסא את עצמן אין במשמע דקאי אהמזימי' אלא אהניזומי' שהם עצמם יזימו עצמם והיינו שיודו להמזימי', ולדבריו מיושב קו' תוספת דלהימני לבתראי במגו דפסלאי לקמאי בגזלנו' ונדחקו בב"ב ל"א ע"ב מגו דבי תרי לא אמרי' ונדחקו בזה בכתוב' י"ח ע"ב ד"ה אין נאמנים וכו' ולהגאון ניחא דהם עצמם מודי'. והא דאמרי' עדים זוממי' חדוש הוא היינו כיון דמאי חזית דסמכת אהני וכו' וע"כ במגו אעפ"כ צריך הודאתם או שתיקתם כהודאה ולא סגי במגו ואין אדם נהרג ולא משלם קנס עפ"י עצמו והיינו חידושי'</w:t>
      </w:r>
      <w:r>
        <w:rPr>
          <w:rFonts w:cs="Arial" w:hint="cs"/>
          <w:rtl/>
          <w:lang w:bidi="he-IL"/>
        </w:rPr>
        <w:t>.</w:t>
      </w:r>
    </w:p>
    <w:p w14:paraId="3C9217CA" w14:textId="77777777" w:rsidR="00484CAA" w:rsidRPr="00C068AB" w:rsidRDefault="00484CAA" w:rsidP="00C068AB">
      <w:pPr>
        <w:jc w:val="right"/>
        <w:rPr>
          <w:rtl/>
          <w:lang w:bidi="he-IL"/>
        </w:rPr>
      </w:pPr>
    </w:p>
    <w:p w14:paraId="07748E33" w14:textId="77777777" w:rsidR="00C068AB" w:rsidRDefault="00C068AB" w:rsidP="000E0A3F">
      <w:pPr>
        <w:jc w:val="right"/>
        <w:rPr>
          <w:rtl/>
          <w:lang w:bidi="he-IL"/>
        </w:rPr>
      </w:pPr>
    </w:p>
    <w:p w14:paraId="005D6D8F" w14:textId="77777777" w:rsidR="003D25F4" w:rsidRDefault="003D25F4" w:rsidP="000E0A3F">
      <w:pPr>
        <w:jc w:val="right"/>
        <w:rPr>
          <w:rFonts w:hint="cs"/>
          <w:rtl/>
          <w:lang w:bidi="he-IL"/>
        </w:rPr>
      </w:pPr>
    </w:p>
    <w:sectPr w:rsidR="003D25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E392" w14:textId="77777777" w:rsidR="00796AF1" w:rsidRDefault="00796AF1" w:rsidP="00C068AB">
      <w:pPr>
        <w:spacing w:after="0" w:line="240" w:lineRule="auto"/>
      </w:pPr>
      <w:r>
        <w:separator/>
      </w:r>
    </w:p>
  </w:endnote>
  <w:endnote w:type="continuationSeparator" w:id="0">
    <w:p w14:paraId="566D1C6A" w14:textId="77777777" w:rsidR="00796AF1" w:rsidRDefault="00796AF1" w:rsidP="00C0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9CF5" w14:textId="77777777" w:rsidR="00796AF1" w:rsidRDefault="00796AF1" w:rsidP="00C068AB">
      <w:pPr>
        <w:spacing w:after="0" w:line="240" w:lineRule="auto"/>
      </w:pPr>
      <w:r>
        <w:separator/>
      </w:r>
    </w:p>
  </w:footnote>
  <w:footnote w:type="continuationSeparator" w:id="0">
    <w:p w14:paraId="46BFCA8E" w14:textId="77777777" w:rsidR="00796AF1" w:rsidRDefault="00796AF1" w:rsidP="00C068AB">
      <w:pPr>
        <w:spacing w:after="0" w:line="240" w:lineRule="auto"/>
      </w:pPr>
      <w:r>
        <w:continuationSeparator/>
      </w:r>
    </w:p>
  </w:footnote>
  <w:footnote w:id="1">
    <w:p w14:paraId="0F2C1690" w14:textId="2CB6757D" w:rsidR="00C068AB" w:rsidRPr="009F6A19" w:rsidRDefault="00C068AB" w:rsidP="00C068AB">
      <w:pPr>
        <w:pStyle w:val="FootnoteText"/>
        <w:rPr>
          <w:rFonts w:hint="cs"/>
          <w:sz w:val="14"/>
          <w:szCs w:val="14"/>
          <w:lang w:bidi="he-IL"/>
        </w:rPr>
      </w:pPr>
      <w:r w:rsidRPr="009F6A19">
        <w:rPr>
          <w:rStyle w:val="FootnoteReference"/>
          <w:sz w:val="14"/>
          <w:szCs w:val="14"/>
        </w:rPr>
        <w:footnoteRef/>
      </w:r>
      <w:r w:rsidRPr="009F6A19">
        <w:rPr>
          <w:sz w:val="14"/>
          <w:szCs w:val="14"/>
        </w:rPr>
        <w:t xml:space="preserve"> </w:t>
      </w:r>
      <w:r w:rsidRPr="009F6A19">
        <w:rPr>
          <w:rFonts w:hint="cs"/>
          <w:sz w:val="14"/>
          <w:szCs w:val="14"/>
          <w:lang w:bidi="he-IL"/>
        </w:rPr>
        <w:t>W</w:t>
      </w:r>
      <w:r w:rsidRPr="009F6A19">
        <w:rPr>
          <w:sz w:val="14"/>
          <w:szCs w:val="14"/>
          <w:lang w:bidi="he-IL"/>
        </w:rPr>
        <w:t xml:space="preserve">e have learned some of these </w:t>
      </w:r>
      <w:r w:rsidRPr="009F6A19">
        <w:rPr>
          <w:rFonts w:hint="cs"/>
          <w:sz w:val="14"/>
          <w:szCs w:val="14"/>
          <w:rtl/>
          <w:lang w:bidi="he-IL"/>
        </w:rPr>
        <w:t>מקורות</w:t>
      </w:r>
      <w:r w:rsidRPr="009F6A19">
        <w:rPr>
          <w:sz w:val="14"/>
          <w:szCs w:val="14"/>
          <w:lang w:bidi="he-IL"/>
        </w:rPr>
        <w:t xml:space="preserve"> previously but learn them again with a focus on the Mishna’s opening line of </w:t>
      </w:r>
      <w:r w:rsidRPr="009F6A19">
        <w:rPr>
          <w:rFonts w:hint="cs"/>
          <w:sz w:val="14"/>
          <w:szCs w:val="14"/>
          <w:rtl/>
          <w:lang w:bidi="he-IL"/>
        </w:rPr>
        <w:t>"</w:t>
      </w:r>
      <w:r w:rsidRPr="009F6A19">
        <w:rPr>
          <w:sz w:val="14"/>
          <w:szCs w:val="14"/>
          <w:rtl/>
          <w:lang w:bidi="he-IL"/>
        </w:rPr>
        <w:t>אין העדים נעשים זוממין עד שיזימו את עצמן</w:t>
      </w:r>
      <w:r w:rsidRPr="009F6A19">
        <w:rPr>
          <w:rFonts w:hint="cs"/>
          <w:sz w:val="14"/>
          <w:szCs w:val="14"/>
          <w:rtl/>
          <w:lang w:bidi="he-IL"/>
        </w:rPr>
        <w:t>"</w:t>
      </w:r>
    </w:p>
  </w:footnote>
  <w:footnote w:id="2">
    <w:p w14:paraId="6802326E" w14:textId="550E63CD" w:rsidR="00800DFF" w:rsidRPr="009F6A19" w:rsidRDefault="00800DFF">
      <w:pPr>
        <w:pStyle w:val="FootnoteText"/>
        <w:rPr>
          <w:rFonts w:hint="cs"/>
          <w:sz w:val="14"/>
          <w:szCs w:val="14"/>
          <w:lang w:bidi="he-IL"/>
        </w:rPr>
      </w:pPr>
      <w:r w:rsidRPr="009F6A19">
        <w:rPr>
          <w:rStyle w:val="FootnoteReference"/>
          <w:sz w:val="14"/>
          <w:szCs w:val="14"/>
        </w:rPr>
        <w:footnoteRef/>
      </w:r>
      <w:r w:rsidRPr="009F6A19">
        <w:rPr>
          <w:sz w:val="14"/>
          <w:szCs w:val="14"/>
        </w:rPr>
        <w:t xml:space="preserve"> The footnotes in the </w:t>
      </w:r>
      <w:r w:rsidRPr="009F6A19">
        <w:rPr>
          <w:rFonts w:hint="cs"/>
          <w:sz w:val="14"/>
          <w:szCs w:val="14"/>
          <w:rtl/>
          <w:lang w:bidi="he-IL"/>
        </w:rPr>
        <w:t>ר"ח</w:t>
      </w:r>
      <w:r w:rsidRPr="009F6A19">
        <w:rPr>
          <w:sz w:val="14"/>
          <w:szCs w:val="14"/>
          <w:lang w:bidi="he-IL"/>
        </w:rPr>
        <w:t xml:space="preserve"> cited on the </w:t>
      </w:r>
      <w:r w:rsidRPr="009F6A19">
        <w:rPr>
          <w:rFonts w:hint="cs"/>
          <w:sz w:val="14"/>
          <w:szCs w:val="14"/>
          <w:rtl/>
          <w:lang w:bidi="he-IL"/>
        </w:rPr>
        <w:t>דף</w:t>
      </w:r>
    </w:p>
  </w:footnote>
  <w:footnote w:id="3">
    <w:p w14:paraId="4CE6C201" w14:textId="3A77F078" w:rsidR="00A64F19" w:rsidRPr="009F6A19" w:rsidRDefault="00A64F19">
      <w:pPr>
        <w:pStyle w:val="FootnoteText"/>
        <w:rPr>
          <w:sz w:val="14"/>
          <w:szCs w:val="14"/>
          <w:lang w:bidi="he-IL"/>
        </w:rPr>
      </w:pPr>
      <w:r w:rsidRPr="009F6A19">
        <w:rPr>
          <w:rStyle w:val="FootnoteReference"/>
          <w:sz w:val="14"/>
          <w:szCs w:val="14"/>
        </w:rPr>
        <w:footnoteRef/>
      </w:r>
      <w:r w:rsidRPr="009F6A19">
        <w:rPr>
          <w:sz w:val="14"/>
          <w:szCs w:val="14"/>
        </w:rPr>
        <w:t xml:space="preserve"> </w:t>
      </w:r>
      <w:r w:rsidRPr="009F6A19">
        <w:rPr>
          <w:rFonts w:hint="cs"/>
          <w:sz w:val="14"/>
          <w:szCs w:val="14"/>
          <w:lang w:bidi="he-IL"/>
        </w:rPr>
        <w:t>S</w:t>
      </w:r>
      <w:r w:rsidRPr="009F6A19">
        <w:rPr>
          <w:sz w:val="14"/>
          <w:szCs w:val="14"/>
          <w:lang w:bidi="he-IL"/>
        </w:rPr>
        <w:t>ee below</w:t>
      </w:r>
    </w:p>
  </w:footnote>
  <w:footnote w:id="4">
    <w:p w14:paraId="0EF7ED76" w14:textId="4AFB62A6" w:rsidR="00BC2BD4" w:rsidRPr="009F6A19" w:rsidRDefault="00BC2BD4">
      <w:pPr>
        <w:pStyle w:val="FootnoteText"/>
        <w:rPr>
          <w:sz w:val="14"/>
          <w:szCs w:val="14"/>
          <w:lang w:bidi="he-IL"/>
        </w:rPr>
      </w:pPr>
      <w:r w:rsidRPr="009F6A19">
        <w:rPr>
          <w:rStyle w:val="FootnoteReference"/>
          <w:sz w:val="14"/>
          <w:szCs w:val="14"/>
        </w:rPr>
        <w:footnoteRef/>
      </w:r>
      <w:r w:rsidRPr="009F6A19">
        <w:rPr>
          <w:sz w:val="14"/>
          <w:szCs w:val="14"/>
        </w:rPr>
        <w:t xml:space="preserve"> </w:t>
      </w:r>
      <w:r w:rsidRPr="009F6A19">
        <w:rPr>
          <w:rFonts w:hint="cs"/>
          <w:sz w:val="14"/>
          <w:szCs w:val="14"/>
          <w:lang w:bidi="he-IL"/>
        </w:rPr>
        <w:t>S</w:t>
      </w:r>
      <w:r w:rsidRPr="009F6A19">
        <w:rPr>
          <w:sz w:val="14"/>
          <w:szCs w:val="14"/>
          <w:lang w:bidi="he-IL"/>
        </w:rPr>
        <w:t>ee below</w:t>
      </w:r>
    </w:p>
  </w:footnote>
  <w:footnote w:id="5">
    <w:p w14:paraId="56F19FEB" w14:textId="77777777" w:rsidR="00484CAA" w:rsidRPr="009F6A19" w:rsidRDefault="00484CAA" w:rsidP="00484CAA">
      <w:pPr>
        <w:pStyle w:val="FootnoteText"/>
        <w:rPr>
          <w:sz w:val="14"/>
          <w:szCs w:val="14"/>
          <w:lang w:bidi="he-IL"/>
        </w:rPr>
      </w:pPr>
      <w:r w:rsidRPr="009F6A19">
        <w:rPr>
          <w:rStyle w:val="FootnoteReference"/>
          <w:sz w:val="14"/>
          <w:szCs w:val="14"/>
        </w:rPr>
        <w:footnoteRef/>
      </w:r>
      <w:r w:rsidRPr="009F6A19">
        <w:rPr>
          <w:sz w:val="14"/>
          <w:szCs w:val="14"/>
        </w:rPr>
        <w:t xml:space="preserve"> </w:t>
      </w:r>
      <w:r w:rsidRPr="009F6A19">
        <w:rPr>
          <w:sz w:val="14"/>
          <w:szCs w:val="14"/>
          <w:lang w:bidi="he-IL"/>
        </w:rPr>
        <w:t xml:space="preserve">See below </w:t>
      </w:r>
    </w:p>
  </w:footnote>
  <w:footnote w:id="6">
    <w:p w14:paraId="1A96DB03" w14:textId="219B6A19" w:rsidR="00484CAA" w:rsidRPr="009F6A19" w:rsidRDefault="00484CAA">
      <w:pPr>
        <w:pStyle w:val="FootnoteText"/>
        <w:rPr>
          <w:rFonts w:hint="cs"/>
          <w:sz w:val="14"/>
          <w:szCs w:val="14"/>
          <w:lang w:bidi="he-IL"/>
        </w:rPr>
      </w:pPr>
      <w:r w:rsidRPr="009F6A19">
        <w:rPr>
          <w:rStyle w:val="FootnoteReference"/>
          <w:sz w:val="14"/>
          <w:szCs w:val="14"/>
        </w:rPr>
        <w:footnoteRef/>
      </w:r>
      <w:r w:rsidRPr="009F6A19">
        <w:rPr>
          <w:sz w:val="14"/>
          <w:szCs w:val="14"/>
        </w:rPr>
        <w:t xml:space="preserve"> For those who didn’t have the opportunity to learn the </w:t>
      </w:r>
      <w:r w:rsidRPr="009F6A19">
        <w:rPr>
          <w:rFonts w:hint="cs"/>
          <w:sz w:val="14"/>
          <w:szCs w:val="14"/>
          <w:rtl/>
          <w:lang w:bidi="he-IL"/>
        </w:rPr>
        <w:t>דרשות הר"ן</w:t>
      </w:r>
      <w:r w:rsidRPr="009F6A19">
        <w:rPr>
          <w:sz w:val="14"/>
          <w:szCs w:val="14"/>
          <w:lang w:bidi="he-IL"/>
        </w:rPr>
        <w:t xml:space="preserve"> and </w:t>
      </w:r>
      <w:r w:rsidRPr="009F6A19">
        <w:rPr>
          <w:rFonts w:hint="cs"/>
          <w:sz w:val="14"/>
          <w:szCs w:val="14"/>
          <w:rtl/>
          <w:lang w:bidi="he-IL"/>
        </w:rPr>
        <w:t>פני יהושע</w:t>
      </w:r>
      <w:r w:rsidRPr="009F6A19">
        <w:rPr>
          <w:sz w:val="14"/>
          <w:szCs w:val="14"/>
          <w:lang w:bidi="he-IL"/>
        </w:rPr>
        <w:t xml:space="preserve"> from the previous shiur’s mekoros, we will be referencing their approaches in today’s shiur as well.</w:t>
      </w:r>
    </w:p>
  </w:footnote>
  <w:footnote w:id="7">
    <w:p w14:paraId="7AB4BAF3" w14:textId="7F52A8A0" w:rsidR="001C385F" w:rsidRPr="009F6A19" w:rsidRDefault="001C385F">
      <w:pPr>
        <w:pStyle w:val="FootnoteText"/>
        <w:rPr>
          <w:sz w:val="14"/>
          <w:szCs w:val="14"/>
          <w:lang w:bidi="he-IL"/>
        </w:rPr>
      </w:pPr>
      <w:r w:rsidRPr="009F6A19">
        <w:rPr>
          <w:rStyle w:val="FootnoteReference"/>
          <w:sz w:val="14"/>
          <w:szCs w:val="14"/>
        </w:rPr>
        <w:footnoteRef/>
      </w:r>
      <w:r w:rsidRPr="009F6A19">
        <w:rPr>
          <w:sz w:val="14"/>
          <w:szCs w:val="14"/>
        </w:rPr>
        <w:t xml:space="preserve"> </w:t>
      </w:r>
      <w:r w:rsidRPr="009F6A19">
        <w:rPr>
          <w:rFonts w:hint="cs"/>
          <w:sz w:val="14"/>
          <w:szCs w:val="14"/>
          <w:lang w:bidi="he-IL"/>
        </w:rPr>
        <w:t>S</w:t>
      </w:r>
      <w:r w:rsidRPr="009F6A19">
        <w:rPr>
          <w:sz w:val="14"/>
          <w:szCs w:val="14"/>
          <w:lang w:bidi="he-IL"/>
        </w:rPr>
        <w:t>ee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3F"/>
    <w:rsid w:val="000E0A3F"/>
    <w:rsid w:val="001C385F"/>
    <w:rsid w:val="003D25F4"/>
    <w:rsid w:val="00484CAA"/>
    <w:rsid w:val="00796AF1"/>
    <w:rsid w:val="00800DFF"/>
    <w:rsid w:val="008A1AE2"/>
    <w:rsid w:val="009F6A19"/>
    <w:rsid w:val="00A46F84"/>
    <w:rsid w:val="00A64F19"/>
    <w:rsid w:val="00BC2BD4"/>
    <w:rsid w:val="00BC75C4"/>
    <w:rsid w:val="00C068AB"/>
    <w:rsid w:val="00D27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AF0A"/>
  <w15:chartTrackingRefBased/>
  <w15:docId w15:val="{CC26A1C3-DF10-4111-8695-28B9206B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6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8AB"/>
    <w:rPr>
      <w:sz w:val="20"/>
      <w:szCs w:val="20"/>
    </w:rPr>
  </w:style>
  <w:style w:type="character" w:styleId="FootnoteReference">
    <w:name w:val="footnote reference"/>
    <w:basedOn w:val="DefaultParagraphFont"/>
    <w:uiPriority w:val="99"/>
    <w:semiHidden/>
    <w:unhideWhenUsed/>
    <w:rsid w:val="00C06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5</cp:revision>
  <dcterms:created xsi:type="dcterms:W3CDTF">2022-07-03T01:39:00Z</dcterms:created>
  <dcterms:modified xsi:type="dcterms:W3CDTF">2022-07-03T03:13:00Z</dcterms:modified>
</cp:coreProperties>
</file>