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12C7" w14:textId="77777777" w:rsidR="00346EAF" w:rsidRPr="00346EAF" w:rsidRDefault="00346EAF" w:rsidP="00346EAF">
      <w:pPr>
        <w:jc w:val="right"/>
        <w:rPr>
          <w:rtl/>
          <w:lang w:bidi="he-IL"/>
        </w:rPr>
      </w:pPr>
      <w:r w:rsidRPr="00346EAF">
        <w:rPr>
          <w:rFonts w:hint="cs"/>
          <w:rtl/>
          <w:lang w:bidi="he-IL"/>
        </w:rPr>
        <w:t>הרב שמואל דוב ווייס</w:t>
      </w:r>
    </w:p>
    <w:p w14:paraId="539456A6" w14:textId="61E7AC1D" w:rsidR="00346EAF" w:rsidRPr="00346EAF" w:rsidRDefault="00346EAF" w:rsidP="00346EAF">
      <w:pPr>
        <w:jc w:val="center"/>
        <w:rPr>
          <w:vertAlign w:val="superscript"/>
          <w:rtl/>
          <w:lang w:bidi="he-IL"/>
        </w:rPr>
      </w:pPr>
      <w:r w:rsidRPr="00346EAF">
        <w:rPr>
          <w:rFonts w:hint="cs"/>
          <w:b/>
          <w:bCs/>
          <w:sz w:val="30"/>
          <w:szCs w:val="30"/>
          <w:u w:val="single"/>
          <w:rtl/>
          <w:lang w:bidi="he-IL"/>
        </w:rPr>
        <w:t>פלגינן דיבורא</w:t>
      </w:r>
      <w:r w:rsidRPr="00346EAF">
        <w:rPr>
          <w:rFonts w:hint="cs"/>
          <w:rtl/>
          <w:lang w:bidi="he-IL"/>
        </w:rPr>
        <w:t xml:space="preserve"> (#</w:t>
      </w:r>
      <w:r>
        <w:rPr>
          <w:rFonts w:hint="cs"/>
          <w:rtl/>
          <w:lang w:bidi="he-IL"/>
        </w:rPr>
        <w:t>2</w:t>
      </w:r>
      <w:r w:rsidRPr="00346EAF">
        <w:rPr>
          <w:rFonts w:hint="cs"/>
          <w:rtl/>
          <w:lang w:bidi="he-IL"/>
        </w:rPr>
        <w:t>)</w:t>
      </w:r>
    </w:p>
    <w:p w14:paraId="69CCDEFB" w14:textId="6EF7F2B5" w:rsidR="000C4A05" w:rsidRPr="000C4A05" w:rsidRDefault="000C4A05" w:rsidP="0012256B">
      <w:pPr>
        <w:jc w:val="right"/>
        <w:rPr>
          <w:u w:val="single"/>
          <w:rtl/>
          <w:lang w:bidi="he-IL"/>
        </w:rPr>
      </w:pPr>
      <w:r w:rsidRPr="000C4A05">
        <w:rPr>
          <w:rFonts w:hint="cs"/>
          <w:u w:val="single"/>
          <w:rtl/>
          <w:lang w:bidi="he-IL"/>
        </w:rPr>
        <w:t>פלגינן נאמנות</w:t>
      </w:r>
    </w:p>
    <w:p w14:paraId="53C3EE36" w14:textId="5F520D16" w:rsidR="0012256B" w:rsidRDefault="0012256B" w:rsidP="0012256B">
      <w:pPr>
        <w:jc w:val="right"/>
        <w:rPr>
          <w:rtl/>
          <w:lang w:bidi="he-IL"/>
        </w:rPr>
      </w:pPr>
      <w:r w:rsidRPr="0012256B">
        <w:rPr>
          <w:b/>
          <w:bCs/>
          <w:rtl/>
          <w:lang w:bidi="he-IL"/>
        </w:rPr>
        <w:t xml:space="preserve">תלמוד ירושלמי </w:t>
      </w:r>
      <w:r w:rsidRPr="0012256B">
        <w:rPr>
          <w:rtl/>
          <w:lang w:bidi="he-IL"/>
        </w:rPr>
        <w:t xml:space="preserve">מכות </w:t>
      </w:r>
      <w:r>
        <w:rPr>
          <w:rFonts w:hint="cs"/>
          <w:rtl/>
          <w:lang w:bidi="he-IL"/>
        </w:rPr>
        <w:t>(</w:t>
      </w:r>
      <w:r w:rsidRPr="0012256B">
        <w:rPr>
          <w:rtl/>
          <w:lang w:bidi="he-IL"/>
        </w:rPr>
        <w:t>פרק א</w:t>
      </w:r>
      <w:r>
        <w:rPr>
          <w:rFonts w:hint="cs"/>
          <w:rtl/>
          <w:lang w:bidi="he-IL"/>
        </w:rPr>
        <w:t>'</w:t>
      </w:r>
      <w:r w:rsidRPr="0012256B">
        <w:rPr>
          <w:rtl/>
          <w:lang w:bidi="he-IL"/>
        </w:rPr>
        <w:t xml:space="preserve"> הלכה ז</w:t>
      </w:r>
      <w:r>
        <w:rPr>
          <w:rFonts w:hint="cs"/>
          <w:rtl/>
          <w:lang w:bidi="he-IL"/>
        </w:rPr>
        <w:t xml:space="preserve">'), </w:t>
      </w:r>
      <w:r w:rsidRPr="0012256B">
        <w:rPr>
          <w:rFonts w:hint="cs"/>
          <w:b/>
          <w:bCs/>
          <w:rtl/>
          <w:lang w:bidi="he-IL"/>
        </w:rPr>
        <w:t>פני משה</w:t>
      </w:r>
      <w:r>
        <w:rPr>
          <w:rFonts w:hint="cs"/>
          <w:b/>
          <w:bCs/>
          <w:rtl/>
          <w:lang w:bidi="he-IL"/>
        </w:rPr>
        <w:t xml:space="preserve"> </w:t>
      </w:r>
      <w:r w:rsidRPr="0012256B">
        <w:rPr>
          <w:rFonts w:hint="cs"/>
          <w:rtl/>
          <w:lang w:bidi="he-IL"/>
        </w:rPr>
        <w:t>שם</w:t>
      </w:r>
      <w:r>
        <w:rPr>
          <w:rStyle w:val="FootnoteReference"/>
          <w:rtl/>
          <w:lang w:bidi="he-IL"/>
        </w:rPr>
        <w:footnoteReference w:id="1"/>
      </w:r>
    </w:p>
    <w:p w14:paraId="1F34323F" w14:textId="01FAE65C" w:rsidR="00BB2F38" w:rsidRDefault="00BB2F38" w:rsidP="00BB2F38">
      <w:pPr>
        <w:jc w:val="right"/>
        <w:rPr>
          <w:rtl/>
          <w:lang w:bidi="he-IL"/>
        </w:rPr>
      </w:pPr>
      <w:r w:rsidRPr="00BB2F38">
        <w:rPr>
          <w:b/>
          <w:bCs/>
          <w:rtl/>
          <w:lang w:bidi="he-IL"/>
        </w:rPr>
        <w:t>תלמוד ירושלמי</w:t>
      </w:r>
      <w:r w:rsidRPr="00BB2F38">
        <w:rPr>
          <w:rtl/>
          <w:lang w:bidi="he-IL"/>
        </w:rPr>
        <w:t xml:space="preserve"> גיטין </w:t>
      </w:r>
      <w:r>
        <w:rPr>
          <w:rFonts w:hint="cs"/>
          <w:rtl/>
          <w:lang w:bidi="he-IL"/>
        </w:rPr>
        <w:t>(</w:t>
      </w:r>
      <w:r w:rsidRPr="00BB2F38">
        <w:rPr>
          <w:rtl/>
          <w:lang w:bidi="he-IL"/>
        </w:rPr>
        <w:t>פרק א</w:t>
      </w:r>
      <w:r>
        <w:rPr>
          <w:rFonts w:hint="cs"/>
          <w:rtl/>
          <w:lang w:bidi="he-IL"/>
        </w:rPr>
        <w:t>'</w:t>
      </w:r>
      <w:r w:rsidRPr="00BB2F38">
        <w:rPr>
          <w:rtl/>
          <w:lang w:bidi="he-IL"/>
        </w:rPr>
        <w:t xml:space="preserve"> הלכה א</w:t>
      </w:r>
      <w:r>
        <w:rPr>
          <w:rFonts w:hint="cs"/>
          <w:rtl/>
          <w:lang w:bidi="he-IL"/>
        </w:rPr>
        <w:t xml:space="preserve">'), </w:t>
      </w:r>
      <w:r w:rsidRPr="00BB2F38">
        <w:rPr>
          <w:rFonts w:hint="cs"/>
          <w:b/>
          <w:bCs/>
          <w:rtl/>
          <w:lang w:bidi="he-IL"/>
        </w:rPr>
        <w:t>קרבן העדה</w:t>
      </w:r>
      <w:r>
        <w:rPr>
          <w:rFonts w:hint="cs"/>
          <w:rtl/>
          <w:lang w:bidi="he-IL"/>
        </w:rPr>
        <w:t xml:space="preserve"> שם</w:t>
      </w:r>
      <w:r>
        <w:rPr>
          <w:rStyle w:val="FootnoteReference"/>
          <w:rtl/>
          <w:lang w:bidi="he-IL"/>
        </w:rPr>
        <w:footnoteReference w:id="2"/>
      </w:r>
    </w:p>
    <w:p w14:paraId="1163F925" w14:textId="2C3939E5" w:rsidR="00BA19AA" w:rsidRPr="00BA19AA" w:rsidRDefault="00BA19AA" w:rsidP="00BB2F38">
      <w:pPr>
        <w:jc w:val="right"/>
        <w:rPr>
          <w:lang w:bidi="he-IL"/>
        </w:rPr>
      </w:pPr>
      <w:r w:rsidRPr="00BA19AA">
        <w:rPr>
          <w:rFonts w:hint="cs"/>
          <w:b/>
          <w:bCs/>
          <w:rtl/>
          <w:lang w:bidi="he-IL"/>
        </w:rPr>
        <w:t>רי"ף</w:t>
      </w:r>
      <w:r>
        <w:rPr>
          <w:rFonts w:hint="cs"/>
          <w:rtl/>
          <w:lang w:bidi="he-IL"/>
        </w:rPr>
        <w:t xml:space="preserve"> ג. בדפיו ["ירושלמי... תלמוד לומר עדים"]</w:t>
      </w:r>
    </w:p>
    <w:p w14:paraId="5CEF308D" w14:textId="64445C63" w:rsidR="0012256B" w:rsidRPr="00147878" w:rsidRDefault="00147878" w:rsidP="0012256B">
      <w:pPr>
        <w:jc w:val="right"/>
        <w:rPr>
          <w:rtl/>
          <w:lang w:bidi="he-IL"/>
        </w:rPr>
      </w:pPr>
      <w:r w:rsidRPr="00147878">
        <w:rPr>
          <w:rFonts w:hint="cs"/>
          <w:b/>
          <w:bCs/>
          <w:rtl/>
          <w:lang w:bidi="he-IL"/>
        </w:rPr>
        <w:t>רא"ש</w:t>
      </w:r>
      <w:r>
        <w:rPr>
          <w:rFonts w:hint="cs"/>
          <w:rtl/>
          <w:lang w:bidi="he-IL"/>
        </w:rPr>
        <w:t xml:space="preserve"> (א:י"ג) ["ולפי זה ניחא ההוא דירושלמי..." עד הסוף]</w:t>
      </w:r>
    </w:p>
    <w:p w14:paraId="72C20CDC" w14:textId="19B80409" w:rsidR="00147878" w:rsidRPr="00147878" w:rsidRDefault="00147878" w:rsidP="0012256B">
      <w:pPr>
        <w:jc w:val="right"/>
        <w:rPr>
          <w:b/>
          <w:bCs/>
          <w:rtl/>
          <w:lang w:bidi="he-IL"/>
        </w:rPr>
      </w:pPr>
      <w:r w:rsidRPr="00147878">
        <w:rPr>
          <w:rFonts w:hint="cs"/>
          <w:b/>
          <w:bCs/>
          <w:rtl/>
          <w:lang w:bidi="he-IL"/>
        </w:rPr>
        <w:t>רמב"ם</w:t>
      </w:r>
      <w:r>
        <w:rPr>
          <w:rFonts w:hint="cs"/>
          <w:b/>
          <w:bCs/>
          <w:rtl/>
          <w:lang w:bidi="he-IL"/>
        </w:rPr>
        <w:t xml:space="preserve"> </w:t>
      </w:r>
      <w:r w:rsidRPr="00147878">
        <w:rPr>
          <w:rFonts w:hint="cs"/>
          <w:rtl/>
          <w:lang w:bidi="he-IL"/>
        </w:rPr>
        <w:t>הל' עדות (י"ד:ז)</w:t>
      </w:r>
    </w:p>
    <w:p w14:paraId="395DC2B4" w14:textId="5ABB5F6D" w:rsidR="00147878" w:rsidRDefault="00147878" w:rsidP="0012256B">
      <w:pPr>
        <w:jc w:val="right"/>
        <w:rPr>
          <w:rtl/>
          <w:lang w:bidi="he-IL"/>
        </w:rPr>
      </w:pPr>
      <w:r w:rsidRPr="00147878">
        <w:rPr>
          <w:rFonts w:hint="cs"/>
          <w:b/>
          <w:bCs/>
          <w:rtl/>
          <w:lang w:bidi="he-IL"/>
        </w:rPr>
        <w:t>חידושי הרמב"ן</w:t>
      </w:r>
      <w:r>
        <w:rPr>
          <w:rFonts w:hint="cs"/>
          <w:b/>
          <w:bCs/>
          <w:rtl/>
          <w:lang w:bidi="he-IL"/>
        </w:rPr>
        <w:t xml:space="preserve"> </w:t>
      </w:r>
      <w:r w:rsidRPr="00147878">
        <w:rPr>
          <w:rFonts w:hint="cs"/>
          <w:rtl/>
          <w:lang w:bidi="he-IL"/>
        </w:rPr>
        <w:t>ז.</w:t>
      </w:r>
      <w:r>
        <w:rPr>
          <w:rFonts w:hint="cs"/>
          <w:rtl/>
          <w:lang w:bidi="he-IL"/>
        </w:rPr>
        <w:t xml:space="preserve"> (ד"ה אלעא וטוביה) ["ולפ"ז ניחא מה שאמרו בירושלמי... " עד הסוף]</w:t>
      </w:r>
    </w:p>
    <w:p w14:paraId="6148C5C4" w14:textId="442A1400" w:rsidR="002F3E1F" w:rsidRDefault="002F3E1F" w:rsidP="002F3E1F">
      <w:pPr>
        <w:jc w:val="right"/>
        <w:rPr>
          <w:rtl/>
          <w:lang w:bidi="he-IL"/>
        </w:rPr>
      </w:pPr>
      <w:r w:rsidRPr="002F3E1F">
        <w:rPr>
          <w:rFonts w:hint="cs"/>
          <w:b/>
          <w:bCs/>
          <w:rtl/>
          <w:lang w:bidi="he-IL"/>
        </w:rPr>
        <w:t>גמ'</w:t>
      </w:r>
      <w:r w:rsidRPr="002F3E1F">
        <w:rPr>
          <w:rFonts w:hint="cs"/>
          <w:rtl/>
          <w:lang w:bidi="he-IL"/>
        </w:rPr>
        <w:t xml:space="preserve"> ב"ב קלד: ["אמר רב יוסף השתא דאמרת... בחד גופא לא פלגינן"], </w:t>
      </w:r>
      <w:r w:rsidRPr="002F3E1F">
        <w:rPr>
          <w:rFonts w:hint="cs"/>
          <w:b/>
          <w:bCs/>
          <w:rtl/>
          <w:lang w:bidi="he-IL"/>
        </w:rPr>
        <w:t>רשב"ם</w:t>
      </w:r>
      <w:r w:rsidRPr="002F3E1F">
        <w:rPr>
          <w:rFonts w:hint="cs"/>
          <w:rtl/>
          <w:lang w:bidi="he-IL"/>
        </w:rPr>
        <w:t xml:space="preserve"> שם</w:t>
      </w:r>
    </w:p>
    <w:p w14:paraId="490C056B" w14:textId="581CE20F" w:rsidR="00D76378" w:rsidRPr="00147878" w:rsidRDefault="00D76378" w:rsidP="00AA07C0">
      <w:pPr>
        <w:jc w:val="right"/>
        <w:rPr>
          <w:b/>
          <w:bCs/>
          <w:rtl/>
          <w:lang w:bidi="he-IL"/>
        </w:rPr>
      </w:pPr>
      <w:r w:rsidRPr="00D76378">
        <w:rPr>
          <w:b/>
          <w:bCs/>
          <w:rtl/>
          <w:lang w:bidi="he-IL"/>
        </w:rPr>
        <w:t xml:space="preserve">יד רמ"ה </w:t>
      </w:r>
      <w:r w:rsidRPr="00D76378">
        <w:rPr>
          <w:rtl/>
          <w:lang w:bidi="he-IL"/>
        </w:rPr>
        <w:t>בבא בתרא קלד</w:t>
      </w:r>
      <w:r>
        <w:rPr>
          <w:rFonts w:hint="cs"/>
          <w:rtl/>
          <w:lang w:bidi="he-IL"/>
        </w:rPr>
        <w:t xml:space="preserve">: (ד"ה </w:t>
      </w:r>
      <w:r w:rsidRPr="00D76378">
        <w:rPr>
          <w:rFonts w:hint="cs"/>
          <w:rtl/>
          <w:lang w:bidi="he-IL"/>
        </w:rPr>
        <w:t>וכיון דאיפסיקא</w:t>
      </w:r>
      <w:r>
        <w:rPr>
          <w:rFonts w:hint="cs"/>
          <w:rtl/>
          <w:lang w:bidi="he-IL"/>
        </w:rPr>
        <w:t>)</w:t>
      </w:r>
      <w:r>
        <w:rPr>
          <w:rStyle w:val="FootnoteReference"/>
          <w:rtl/>
          <w:lang w:bidi="he-IL"/>
        </w:rPr>
        <w:footnoteReference w:id="3"/>
      </w:r>
    </w:p>
    <w:p w14:paraId="49568F94" w14:textId="77777777" w:rsidR="0012256B" w:rsidRPr="002F3E1F" w:rsidRDefault="0012256B" w:rsidP="0012256B">
      <w:pPr>
        <w:jc w:val="right"/>
        <w:rPr>
          <w:b/>
          <w:bCs/>
          <w:sz w:val="2"/>
          <w:szCs w:val="2"/>
          <w:lang w:bidi="he-IL"/>
        </w:rPr>
      </w:pPr>
    </w:p>
    <w:p w14:paraId="1627B5B1" w14:textId="77777777" w:rsidR="0012256B" w:rsidRPr="00BA19AA" w:rsidRDefault="0012256B" w:rsidP="0012256B">
      <w:pPr>
        <w:jc w:val="right"/>
        <w:rPr>
          <w:sz w:val="21"/>
          <w:szCs w:val="21"/>
          <w:u w:val="single"/>
        </w:rPr>
      </w:pPr>
      <w:r w:rsidRPr="00BA19AA">
        <w:rPr>
          <w:rFonts w:cs="Arial"/>
          <w:sz w:val="21"/>
          <w:szCs w:val="21"/>
          <w:u w:val="single"/>
          <w:rtl/>
          <w:lang w:bidi="he-IL"/>
        </w:rPr>
        <w:t>תלמוד ירושלמי מסכת מכות פרק א הלכה ז</w:t>
      </w:r>
    </w:p>
    <w:p w14:paraId="072B8505" w14:textId="5F2689EE" w:rsidR="0012256B" w:rsidRPr="00BA19AA" w:rsidRDefault="0012256B" w:rsidP="00BA19AA">
      <w:pPr>
        <w:ind w:left="-180"/>
        <w:jc w:val="right"/>
        <w:rPr>
          <w:rFonts w:cs="Arial"/>
          <w:sz w:val="21"/>
          <w:szCs w:val="21"/>
          <w:rtl/>
          <w:lang w:bidi="he-IL"/>
        </w:rPr>
      </w:pPr>
      <w:r w:rsidRPr="00BA19AA">
        <w:rPr>
          <w:rFonts w:cs="Arial"/>
          <w:sz w:val="21"/>
          <w:szCs w:val="21"/>
          <w:rtl/>
          <w:lang w:bidi="he-IL"/>
        </w:rPr>
        <w:t>כתב כל נכסיו לשני בני אדם כאחת היו העדים כשרין לזה ופסולין לזה רבי הילא אמר איתפלגון רבי יוחנן ורבי שמעון בן לקיש חד אמר מאחר שהן פסולין לזה פסולין לזה וחרנה אמר כשירין לזה ופסולין לזה. רבי מנא לא מפרש [דף ד עמוד ב] רבי אבון מפרש רבי יוחנן אמר מאחר שהן פסולין לזה פסולין לזה רבי שמעון בן לקיש אמר כשירין לזה פסולין לזה אמר רבי לעזר מתניתא מסייעה לר' יוחנן מה השנים נמצא א' מהן קרוב או פסול עדותן בטילה אף השלשה נמצא אחד מהן קרוב או פסול עדותן בטילה מניין אפילו מאה תלמוד לומר עדים ר' יעקב בר אחא איתפלגון רבי חנינה חברין דרבנין ורבנין חד אמר יאות א"ר לעזר וחרנה אמר לא אמר רבי לעזר יאות מאן דאמר יאות אמר ר' לעזר נעשית כעידות אחת ובהתרייה אחת וכל עדות שבטלה מקצתה בטל כולה מאן דאמר לא א"ר לעזר יאות נעשית כשתי כיתי עדים כשירין לזה ופסולין לזה</w:t>
      </w:r>
      <w:r w:rsidRPr="00BA19AA">
        <w:rPr>
          <w:rFonts w:cs="Arial" w:hint="cs"/>
          <w:sz w:val="21"/>
          <w:szCs w:val="21"/>
          <w:rtl/>
          <w:lang w:bidi="he-IL"/>
        </w:rPr>
        <w:t>:</w:t>
      </w:r>
    </w:p>
    <w:p w14:paraId="6610A8F3" w14:textId="77777777" w:rsidR="0012256B" w:rsidRPr="00BA19AA" w:rsidRDefault="0012256B" w:rsidP="00BB2F38">
      <w:pPr>
        <w:ind w:left="-540"/>
        <w:jc w:val="right"/>
        <w:rPr>
          <w:sz w:val="21"/>
          <w:szCs w:val="21"/>
          <w:u w:val="single"/>
        </w:rPr>
      </w:pPr>
      <w:r w:rsidRPr="00BA19AA">
        <w:rPr>
          <w:rFonts w:cs="Arial"/>
          <w:sz w:val="21"/>
          <w:szCs w:val="21"/>
          <w:u w:val="single"/>
          <w:rtl/>
          <w:lang w:bidi="he-IL"/>
        </w:rPr>
        <w:t>פני משה מסכת מכות פרק א הלכה ז</w:t>
      </w:r>
    </w:p>
    <w:p w14:paraId="282E6B70" w14:textId="4A5774B8" w:rsidR="0012256B" w:rsidRPr="00BA19AA" w:rsidRDefault="0012256B" w:rsidP="00BB2F38">
      <w:pPr>
        <w:ind w:left="-540"/>
        <w:jc w:val="right"/>
        <w:rPr>
          <w:sz w:val="21"/>
          <w:szCs w:val="21"/>
        </w:rPr>
      </w:pPr>
      <w:r w:rsidRPr="00BA19AA">
        <w:rPr>
          <w:rFonts w:cs="Arial"/>
          <w:sz w:val="21"/>
          <w:szCs w:val="21"/>
          <w:rtl/>
          <w:lang w:bidi="he-IL"/>
        </w:rPr>
        <w:t>כתב כל נכסיו לשני בני אדם כאחת. בשטר אחד ולא פירש לכל אחד בפני עצמו</w:t>
      </w:r>
      <w:r w:rsidRPr="00BA19AA">
        <w:rPr>
          <w:rFonts w:cs="Arial" w:hint="cs"/>
          <w:sz w:val="21"/>
          <w:szCs w:val="21"/>
          <w:rtl/>
          <w:lang w:bidi="he-IL"/>
        </w:rPr>
        <w:t>:</w:t>
      </w:r>
    </w:p>
    <w:p w14:paraId="17DC7684" w14:textId="4B4F1034" w:rsidR="0012256B" w:rsidRPr="00BA19AA" w:rsidRDefault="0012256B" w:rsidP="00BB2F38">
      <w:pPr>
        <w:ind w:left="-540"/>
        <w:jc w:val="right"/>
        <w:rPr>
          <w:sz w:val="21"/>
          <w:szCs w:val="21"/>
        </w:rPr>
      </w:pPr>
      <w:r w:rsidRPr="00BA19AA">
        <w:rPr>
          <w:rFonts w:cs="Arial"/>
          <w:sz w:val="21"/>
          <w:szCs w:val="21"/>
          <w:rtl/>
          <w:lang w:bidi="he-IL"/>
        </w:rPr>
        <w:t xml:space="preserve">ר' מנא לא מפרש. מי הוא הפוסל ומי הוא המכשיר אלא שנה סתם כדר' הילא חד אמר וחרנה אמר: </w:t>
      </w:r>
      <w:r w:rsidRPr="00BA19AA">
        <w:rPr>
          <w:sz w:val="21"/>
          <w:szCs w:val="21"/>
        </w:rPr>
        <w:t xml:space="preserve"> </w:t>
      </w:r>
    </w:p>
    <w:p w14:paraId="7FBB5CB9" w14:textId="720959EC" w:rsidR="0012256B" w:rsidRPr="00BA19AA" w:rsidRDefault="0012256B" w:rsidP="00BB2F38">
      <w:pPr>
        <w:ind w:left="-540"/>
        <w:jc w:val="right"/>
        <w:rPr>
          <w:sz w:val="21"/>
          <w:szCs w:val="21"/>
        </w:rPr>
      </w:pPr>
      <w:r w:rsidRPr="00BA19AA">
        <w:rPr>
          <w:rFonts w:cs="Arial"/>
          <w:sz w:val="21"/>
          <w:szCs w:val="21"/>
          <w:rtl/>
          <w:lang w:bidi="he-IL"/>
        </w:rPr>
        <w:t>רבי אבון מפרש. דר' יוחנן הוא הפוסל ור"ל הוא המכשיר</w:t>
      </w:r>
      <w:r w:rsidRPr="00BA19AA">
        <w:rPr>
          <w:rFonts w:cs="Arial" w:hint="cs"/>
          <w:sz w:val="21"/>
          <w:szCs w:val="21"/>
          <w:rtl/>
          <w:lang w:bidi="he-IL"/>
        </w:rPr>
        <w:t>:</w:t>
      </w:r>
    </w:p>
    <w:p w14:paraId="51E11CF1" w14:textId="7E43AE09" w:rsidR="0012256B" w:rsidRPr="00BA19AA" w:rsidRDefault="0012256B" w:rsidP="00BB2F38">
      <w:pPr>
        <w:ind w:left="-540"/>
        <w:jc w:val="right"/>
        <w:rPr>
          <w:sz w:val="21"/>
          <w:szCs w:val="21"/>
        </w:rPr>
      </w:pPr>
      <w:r w:rsidRPr="00BA19AA">
        <w:rPr>
          <w:rFonts w:cs="Arial"/>
          <w:sz w:val="21"/>
          <w:szCs w:val="21"/>
          <w:rtl/>
          <w:lang w:bidi="he-IL"/>
        </w:rPr>
        <w:t>מתני'. דפירקין מסייע לר' יוחנן דקתני אפי' מאה עדים ונמצא אחד מהן קרוב או פסול עדותן בטלה ואף על פי שיש הרבה כשירים וה"ה הכא אף על פי שהן כשרים לזה בטלה עדותן מפני שהן פסולין לזה</w:t>
      </w:r>
      <w:r w:rsidRPr="00BA19AA">
        <w:rPr>
          <w:rFonts w:cs="Arial" w:hint="cs"/>
          <w:sz w:val="21"/>
          <w:szCs w:val="21"/>
          <w:rtl/>
          <w:lang w:bidi="he-IL"/>
        </w:rPr>
        <w:t>:</w:t>
      </w:r>
    </w:p>
    <w:p w14:paraId="44202D95" w14:textId="32D0A6BA" w:rsidR="0012256B" w:rsidRPr="00BA19AA" w:rsidRDefault="0012256B" w:rsidP="00BB2F38">
      <w:pPr>
        <w:ind w:left="-540"/>
        <w:jc w:val="right"/>
        <w:rPr>
          <w:sz w:val="21"/>
          <w:szCs w:val="21"/>
        </w:rPr>
      </w:pPr>
      <w:r w:rsidRPr="00BA19AA">
        <w:rPr>
          <w:rFonts w:cs="Arial"/>
          <w:sz w:val="21"/>
          <w:szCs w:val="21"/>
          <w:rtl/>
          <w:lang w:bidi="he-IL"/>
        </w:rPr>
        <w:t>יאות אמר ר' אלעזר. במה דמדמי האי דינא לדינא דמתני</w:t>
      </w:r>
      <w:r w:rsidRPr="00BA19AA">
        <w:rPr>
          <w:rFonts w:cs="Arial" w:hint="cs"/>
          <w:sz w:val="21"/>
          <w:szCs w:val="21"/>
          <w:rtl/>
          <w:lang w:bidi="he-IL"/>
        </w:rPr>
        <w:t>':</w:t>
      </w:r>
    </w:p>
    <w:p w14:paraId="2181736A" w14:textId="581D7C1E" w:rsidR="0012256B" w:rsidRPr="00BA19AA" w:rsidRDefault="0012256B" w:rsidP="00BB2F38">
      <w:pPr>
        <w:ind w:left="-540"/>
        <w:jc w:val="right"/>
        <w:rPr>
          <w:sz w:val="21"/>
          <w:szCs w:val="21"/>
          <w:lang w:bidi="he-IL"/>
        </w:rPr>
      </w:pPr>
      <w:r w:rsidRPr="00BA19AA">
        <w:rPr>
          <w:rFonts w:cs="Arial"/>
          <w:sz w:val="21"/>
          <w:szCs w:val="21"/>
          <w:rtl/>
          <w:lang w:bidi="he-IL"/>
        </w:rPr>
        <w:t>נעשית כעדות אחת ובהתרייה אחת. כלומר דחשבינן הכא לדין דכתב נכסיו כאלו הם עדות אחת הואיל ובשטר אחד כתב לשניהם והויא לה עדות שבטלה מקצתה בטלה כולה כדינא דמתני</w:t>
      </w:r>
      <w:r w:rsidRPr="00BA19AA">
        <w:rPr>
          <w:rFonts w:hint="cs"/>
          <w:sz w:val="21"/>
          <w:szCs w:val="21"/>
          <w:rtl/>
          <w:lang w:bidi="he-IL"/>
        </w:rPr>
        <w:t>':</w:t>
      </w:r>
    </w:p>
    <w:p w14:paraId="7992A696" w14:textId="3A96417B" w:rsidR="002F3E1F" w:rsidRDefault="0012256B" w:rsidP="00BA19AA">
      <w:pPr>
        <w:jc w:val="right"/>
        <w:rPr>
          <w:rFonts w:cs="Arial"/>
          <w:sz w:val="21"/>
          <w:szCs w:val="21"/>
          <w:lang w:bidi="he-IL"/>
        </w:rPr>
      </w:pPr>
      <w:r w:rsidRPr="00BA19AA">
        <w:rPr>
          <w:rFonts w:cs="Arial"/>
          <w:sz w:val="21"/>
          <w:szCs w:val="21"/>
          <w:rtl/>
          <w:lang w:bidi="he-IL"/>
        </w:rPr>
        <w:t>ומ"ד לא אמר ר' אלעזר יאות. דשאני הכא דהואיל והשטר לשני בני אדם הוא נעשית כשתי כתי עדים ולזה פסולין ולזה כשירין כלומר דלא מחשבינן להשטר כעדות אחת לשנאמר בו בטל כולו דשאני במתני' דעדות אחת הן כולן ולפיכך בטלה מקצתה בטלה כולה</w:t>
      </w:r>
      <w:r w:rsidRPr="00BA19AA">
        <w:rPr>
          <w:rFonts w:cs="Arial" w:hint="cs"/>
          <w:sz w:val="21"/>
          <w:szCs w:val="21"/>
          <w:rtl/>
          <w:lang w:bidi="he-IL"/>
        </w:rPr>
        <w:t>:</w:t>
      </w:r>
    </w:p>
    <w:p w14:paraId="315ADA5C" w14:textId="77777777" w:rsidR="00BA19AA" w:rsidRPr="00BA19AA" w:rsidRDefault="00BA19AA" w:rsidP="00BA19AA">
      <w:pPr>
        <w:jc w:val="right"/>
        <w:rPr>
          <w:rFonts w:cs="Arial"/>
          <w:sz w:val="21"/>
          <w:szCs w:val="21"/>
          <w:rtl/>
          <w:lang w:bidi="he-IL"/>
        </w:rPr>
      </w:pPr>
    </w:p>
    <w:p w14:paraId="1CF9651F" w14:textId="77777777" w:rsidR="00BB2F38" w:rsidRPr="00BA19AA" w:rsidRDefault="00BB2F38" w:rsidP="00BB2F38">
      <w:pPr>
        <w:jc w:val="right"/>
        <w:rPr>
          <w:sz w:val="21"/>
          <w:szCs w:val="21"/>
          <w:u w:val="single"/>
        </w:rPr>
      </w:pPr>
      <w:r w:rsidRPr="00BA19AA">
        <w:rPr>
          <w:rFonts w:cs="Arial"/>
          <w:sz w:val="21"/>
          <w:szCs w:val="21"/>
          <w:u w:val="single"/>
          <w:rtl/>
          <w:lang w:bidi="he-IL"/>
        </w:rPr>
        <w:lastRenderedPageBreak/>
        <w:t>תלמוד ירושלמי מסכת גיטין פרק א הלכה א</w:t>
      </w:r>
    </w:p>
    <w:p w14:paraId="4C701BCE" w14:textId="5B648F08" w:rsidR="00BB2F38" w:rsidRPr="00BA19AA" w:rsidRDefault="00BB2F38" w:rsidP="00BB2F38">
      <w:pPr>
        <w:jc w:val="right"/>
        <w:rPr>
          <w:rFonts w:cs="Arial"/>
          <w:sz w:val="21"/>
          <w:szCs w:val="21"/>
          <w:lang w:bidi="he-IL"/>
        </w:rPr>
      </w:pPr>
      <w:r w:rsidRPr="00BA19AA">
        <w:rPr>
          <w:rFonts w:cs="Arial"/>
          <w:sz w:val="21"/>
          <w:szCs w:val="21"/>
          <w:rtl/>
          <w:lang w:bidi="he-IL"/>
        </w:rPr>
        <w:t>כתב כל נכסיו לעבדו את אמר הוא גיטו הוא מתנתו. מה את עבד לה. כגט הוא ועררו בטל. או כמתנה הוא ועררו קיים. וייבא כהדא כתב כל נכסיו לשני בני אדם כאחת והיו עדים כשרין לזה ופסולין לזה. ר' אילא בשם ר' אמי אתפלגון ר' יוחנן וריש לקיש חד אמר מאחר שהן פסולין לזה פסולין לזה וחרנה אמר כשירין לזה ופסולין לזה. [דף ב עמוד א] ר' מנא לא מפרש. ר' אבין מפרש ר' יוחנן אמר מאחר שהן פסולין לזה פסולין לזה. וריש לקיש אמר כשרין לזה ופסולין לזה. אמר ר' אלעזר מתניתא מסייעא לר' יוחנן מה השנים נמצא אחד מהן קרוב או פסול עדותן בטילה אף הג' נמצא אחד מהן קרוב או פסול עדותן בטילה. ר' יעקב בר אחא אמר אתפלגון ר' חנינא חברין דרבנין ורבנין. חד אמר יאות א"ר לעזר. וחרנה אמר לא א"ר לעזר יאות. מ"ד יאות א"ר אלעזר נעשית עדות אחת וכאיש אחד בעדות שבטלה מקצתה בטלה כולה ומ"ד לא א"ר לעזר יאות נעשה כשתי כתי עדים כשרים לזה ופסולים לזה עד שיאמר בפני נכתב ביום ונחתם ביום עד שיאמר נכתב לשמה ונחתם לשמה</w:t>
      </w:r>
      <w:r w:rsidRPr="00BA19AA">
        <w:rPr>
          <w:rFonts w:cs="Arial" w:hint="cs"/>
          <w:sz w:val="21"/>
          <w:szCs w:val="21"/>
          <w:rtl/>
          <w:lang w:bidi="he-IL"/>
        </w:rPr>
        <w:t>:</w:t>
      </w:r>
    </w:p>
    <w:p w14:paraId="48561092" w14:textId="77777777" w:rsidR="00BB2F38" w:rsidRPr="00BA19AA" w:rsidRDefault="00BB2F38" w:rsidP="00BB2F38">
      <w:pPr>
        <w:ind w:left="-450"/>
        <w:jc w:val="right"/>
        <w:rPr>
          <w:sz w:val="21"/>
          <w:szCs w:val="21"/>
          <w:u w:val="single"/>
        </w:rPr>
      </w:pPr>
      <w:r w:rsidRPr="00BA19AA">
        <w:rPr>
          <w:rFonts w:cs="Arial"/>
          <w:sz w:val="21"/>
          <w:szCs w:val="21"/>
          <w:u w:val="single"/>
          <w:rtl/>
          <w:lang w:bidi="he-IL"/>
        </w:rPr>
        <w:t>קרבן העדה מסכת גיטין פרק א הלכה א</w:t>
      </w:r>
    </w:p>
    <w:p w14:paraId="28C69718" w14:textId="4A1B73B8" w:rsidR="00BB2F38" w:rsidRPr="00BA19AA" w:rsidRDefault="00BB2F38" w:rsidP="00BB2F38">
      <w:pPr>
        <w:ind w:left="-450"/>
        <w:jc w:val="right"/>
        <w:rPr>
          <w:sz w:val="21"/>
          <w:szCs w:val="21"/>
        </w:rPr>
      </w:pPr>
      <w:r w:rsidRPr="00BA19AA">
        <w:rPr>
          <w:rFonts w:cs="Arial"/>
          <w:sz w:val="21"/>
          <w:szCs w:val="21"/>
          <w:rtl/>
          <w:lang w:bidi="he-IL"/>
        </w:rPr>
        <w:t>כתב כל נכסיו לעבדו. כלומר ותו מיבעיא לן הא דתנן הכותב כל נכסיו לעבדו יצא לחירות ושטר זה הוא גט שחרור ושטר מתנה כאחד מיבעיא לן אם הביא העבד שטר מתנה זה ואמר בפ"נ ובפ"נ מי מהני אמירה זו גם למתנה וזוכה גם בנכסים וא"צ לקיימו או דלמא כיון דשניהן כלולין בלשון אחד לא פלגינן דיבורא ולא מהני גם לשחרור עד שיקיים בחותמיו</w:t>
      </w:r>
      <w:r w:rsidRPr="00BA19AA">
        <w:rPr>
          <w:rFonts w:cs="Arial" w:hint="cs"/>
          <w:sz w:val="21"/>
          <w:szCs w:val="21"/>
          <w:rtl/>
          <w:lang w:bidi="he-IL"/>
        </w:rPr>
        <w:t>:</w:t>
      </w:r>
    </w:p>
    <w:p w14:paraId="659F3654" w14:textId="37CE83B5" w:rsidR="00BB2F38" w:rsidRPr="00BA19AA" w:rsidRDefault="00BB2F38" w:rsidP="00BB2F38">
      <w:pPr>
        <w:ind w:left="-450"/>
        <w:jc w:val="right"/>
        <w:rPr>
          <w:sz w:val="21"/>
          <w:szCs w:val="21"/>
        </w:rPr>
      </w:pPr>
      <w:r w:rsidRPr="00BA19AA">
        <w:rPr>
          <w:rFonts w:cs="Arial"/>
          <w:sz w:val="21"/>
          <w:szCs w:val="21"/>
          <w:rtl/>
          <w:lang w:bidi="he-IL"/>
        </w:rPr>
        <w:t>ופשיט וייבא כהדא. ואתיא כהך פלוגתא דר"י ורשב"ל</w:t>
      </w:r>
      <w:r w:rsidRPr="00BA19AA">
        <w:rPr>
          <w:rFonts w:cs="Arial" w:hint="cs"/>
          <w:sz w:val="21"/>
          <w:szCs w:val="21"/>
          <w:rtl/>
          <w:lang w:bidi="he-IL"/>
        </w:rPr>
        <w:t>:</w:t>
      </w:r>
    </w:p>
    <w:p w14:paraId="27F420B7" w14:textId="698CAAA4" w:rsidR="00BB2F38" w:rsidRPr="00BA19AA" w:rsidRDefault="00BB2F38" w:rsidP="00BB2F38">
      <w:pPr>
        <w:ind w:left="-450"/>
        <w:jc w:val="right"/>
        <w:rPr>
          <w:sz w:val="21"/>
          <w:szCs w:val="21"/>
        </w:rPr>
      </w:pPr>
      <w:r w:rsidRPr="00BA19AA">
        <w:rPr>
          <w:rFonts w:cs="Arial"/>
          <w:sz w:val="21"/>
          <w:szCs w:val="21"/>
          <w:rtl/>
          <w:lang w:bidi="he-IL"/>
        </w:rPr>
        <w:t>כתב כל נכסיו לשני בני אדם כאחת. שכתב בשטר כל נכסי נתונים לראובן ושמעון והחתים עדים ואלו עדים כשרים לאחד ממקבלי המתנה וקרובים להשני</w:t>
      </w:r>
      <w:r w:rsidRPr="00BA19AA">
        <w:rPr>
          <w:rFonts w:cs="Arial" w:hint="cs"/>
          <w:sz w:val="21"/>
          <w:szCs w:val="21"/>
          <w:rtl/>
          <w:lang w:bidi="he-IL"/>
        </w:rPr>
        <w:t>:</w:t>
      </w:r>
    </w:p>
    <w:p w14:paraId="5B97CB0B" w14:textId="1ABC09A6" w:rsidR="00BB2F38" w:rsidRPr="00BA19AA" w:rsidRDefault="00BB2F38" w:rsidP="00BB2F38">
      <w:pPr>
        <w:ind w:left="-450"/>
        <w:jc w:val="right"/>
        <w:rPr>
          <w:sz w:val="21"/>
          <w:szCs w:val="21"/>
        </w:rPr>
      </w:pPr>
      <w:r w:rsidRPr="00BA19AA">
        <w:rPr>
          <w:rFonts w:cs="Arial"/>
          <w:sz w:val="21"/>
          <w:szCs w:val="21"/>
          <w:rtl/>
          <w:lang w:bidi="he-IL"/>
        </w:rPr>
        <w:t>איתפלגון. פליגי בה ר"י ורשב"ל</w:t>
      </w:r>
      <w:r w:rsidRPr="00BA19AA">
        <w:rPr>
          <w:rFonts w:cs="Arial" w:hint="cs"/>
          <w:sz w:val="21"/>
          <w:szCs w:val="21"/>
          <w:rtl/>
          <w:lang w:bidi="he-IL"/>
        </w:rPr>
        <w:t>:</w:t>
      </w:r>
    </w:p>
    <w:p w14:paraId="69555889" w14:textId="16523B25" w:rsidR="00BB2F38" w:rsidRPr="00BA19AA" w:rsidRDefault="00BB2F38" w:rsidP="00BB2F38">
      <w:pPr>
        <w:ind w:left="-450"/>
        <w:jc w:val="right"/>
        <w:rPr>
          <w:sz w:val="21"/>
          <w:szCs w:val="21"/>
        </w:rPr>
      </w:pPr>
      <w:r w:rsidRPr="00BA19AA">
        <w:rPr>
          <w:rFonts w:cs="Arial"/>
          <w:sz w:val="21"/>
          <w:szCs w:val="21"/>
          <w:rtl/>
          <w:lang w:bidi="he-IL"/>
        </w:rPr>
        <w:t>מאחר שהן פסולין לזה פסולין לזה. דלא פלגינן דיבורא ובטלה עדותן אף לגבי זה שהן כשרים לו ומתנה שבטלה מקצתה בטלה כולה וה"נ לא פלגינן דיבורו וערעורו קיים אף על הגט</w:t>
      </w:r>
      <w:r w:rsidRPr="00BA19AA">
        <w:rPr>
          <w:rFonts w:cs="Arial" w:hint="cs"/>
          <w:sz w:val="21"/>
          <w:szCs w:val="21"/>
          <w:rtl/>
          <w:lang w:bidi="he-IL"/>
        </w:rPr>
        <w:t>:</w:t>
      </w:r>
    </w:p>
    <w:p w14:paraId="0A325D0F" w14:textId="69AAA4F1" w:rsidR="00BB2F38" w:rsidRPr="00BA19AA" w:rsidRDefault="00BB2F38" w:rsidP="00BB2F38">
      <w:pPr>
        <w:ind w:left="-450"/>
        <w:jc w:val="right"/>
        <w:rPr>
          <w:sz w:val="21"/>
          <w:szCs w:val="21"/>
          <w:lang w:bidi="he-IL"/>
        </w:rPr>
      </w:pPr>
      <w:r w:rsidRPr="00BA19AA">
        <w:rPr>
          <w:rFonts w:cs="Arial"/>
          <w:sz w:val="21"/>
          <w:szCs w:val="21"/>
          <w:rtl/>
          <w:lang w:bidi="he-IL"/>
        </w:rPr>
        <w:t>וחרנא. אחרינא אמר כשרין לזה שהן רחוקין ממנו ומתנתו קיימת וה"נ מהני בפ"נ על הגט ולא מהני על המתנה</w:t>
      </w:r>
      <w:r w:rsidRPr="00BA19AA">
        <w:rPr>
          <w:rFonts w:hint="cs"/>
          <w:sz w:val="21"/>
          <w:szCs w:val="21"/>
          <w:rtl/>
          <w:lang w:bidi="he-IL"/>
        </w:rPr>
        <w:t>:</w:t>
      </w:r>
    </w:p>
    <w:p w14:paraId="4928C165" w14:textId="2CC81B87" w:rsidR="00BB2F38" w:rsidRPr="00BA19AA" w:rsidRDefault="00BB2F38" w:rsidP="00BB2F38">
      <w:pPr>
        <w:ind w:left="-450"/>
        <w:jc w:val="right"/>
        <w:rPr>
          <w:sz w:val="21"/>
          <w:szCs w:val="21"/>
        </w:rPr>
      </w:pPr>
      <w:r w:rsidRPr="00BA19AA">
        <w:rPr>
          <w:rFonts w:cs="Arial"/>
          <w:sz w:val="21"/>
          <w:szCs w:val="21"/>
          <w:rtl/>
          <w:lang w:bidi="he-IL"/>
        </w:rPr>
        <w:t>ר' מנא לא מפרש. פלוגתייהו דר"י ורשב"ל מאן אמר הכי ומאן אמר הכי ור' אבין מפרש דר"י פוסל הכל ור"ל מכשיר</w:t>
      </w:r>
      <w:r w:rsidRPr="00BA19AA">
        <w:rPr>
          <w:rFonts w:cs="Arial" w:hint="cs"/>
          <w:sz w:val="21"/>
          <w:szCs w:val="21"/>
          <w:rtl/>
          <w:lang w:bidi="he-IL"/>
        </w:rPr>
        <w:t>:</w:t>
      </w:r>
    </w:p>
    <w:p w14:paraId="3B901B54" w14:textId="0C53A9B8" w:rsidR="00BB2F38" w:rsidRPr="00BA19AA" w:rsidRDefault="00BB2F38" w:rsidP="00BB2F38">
      <w:pPr>
        <w:ind w:left="-450"/>
        <w:jc w:val="right"/>
        <w:rPr>
          <w:sz w:val="21"/>
          <w:szCs w:val="21"/>
        </w:rPr>
      </w:pPr>
      <w:r w:rsidRPr="00BA19AA">
        <w:rPr>
          <w:rFonts w:cs="Arial"/>
          <w:sz w:val="21"/>
          <w:szCs w:val="21"/>
          <w:rtl/>
          <w:lang w:bidi="he-IL"/>
        </w:rPr>
        <w:t>מתני'. פ"ק דמכות מסייעא לר"י דקסבר טעמו דר"י משום דסובר עדות שבטלה מקצתו בטלה כולה ואפשר דמודה כאן בגט אשה ושטר שחרור ומתנה דפלגינן דיבורא דהטעם משום שלא נתקיים השטר ולאו משום ביטול הוא</w:t>
      </w:r>
      <w:r w:rsidRPr="00BA19AA">
        <w:rPr>
          <w:rFonts w:cs="Arial" w:hint="cs"/>
          <w:sz w:val="21"/>
          <w:szCs w:val="21"/>
          <w:rtl/>
          <w:lang w:bidi="he-IL"/>
        </w:rPr>
        <w:t>:</w:t>
      </w:r>
    </w:p>
    <w:p w14:paraId="227544FA" w14:textId="7C063549" w:rsidR="00BB2F38" w:rsidRPr="00BA19AA" w:rsidRDefault="00BB2F38" w:rsidP="00BB2F38">
      <w:pPr>
        <w:ind w:left="-450"/>
        <w:jc w:val="right"/>
        <w:rPr>
          <w:sz w:val="21"/>
          <w:szCs w:val="21"/>
        </w:rPr>
      </w:pPr>
      <w:r w:rsidRPr="00BA19AA">
        <w:rPr>
          <w:rFonts w:cs="Arial"/>
          <w:sz w:val="21"/>
          <w:szCs w:val="21"/>
          <w:rtl/>
          <w:lang w:bidi="he-IL"/>
        </w:rPr>
        <w:t>מה שנים נמצא אחד מהן וכו'. כלומר כי היכי דאמרינן בעדות על פה דעדות הכשרים פסול מפני שהיו הפסולים עמהם דעדות שבטלה מקצתה בטלה כולה ה"נ עדות שבשטר שבטלה מקצתה בטלה כולה</w:t>
      </w:r>
      <w:r w:rsidRPr="00BA19AA">
        <w:rPr>
          <w:rFonts w:cs="Arial" w:hint="cs"/>
          <w:sz w:val="21"/>
          <w:szCs w:val="21"/>
          <w:rtl/>
          <w:lang w:bidi="he-IL"/>
        </w:rPr>
        <w:t>:</w:t>
      </w:r>
    </w:p>
    <w:p w14:paraId="07E3EE09" w14:textId="662F5D5B" w:rsidR="00BB2F38" w:rsidRPr="00BA19AA" w:rsidRDefault="00BB2F38" w:rsidP="00BB2F38">
      <w:pPr>
        <w:ind w:left="-450"/>
        <w:jc w:val="right"/>
        <w:rPr>
          <w:sz w:val="21"/>
          <w:szCs w:val="21"/>
          <w:lang w:bidi="he-IL"/>
        </w:rPr>
      </w:pPr>
      <w:r w:rsidRPr="00BA19AA">
        <w:rPr>
          <w:rFonts w:cs="Arial"/>
          <w:sz w:val="21"/>
          <w:szCs w:val="21"/>
          <w:rtl/>
          <w:lang w:bidi="he-IL"/>
        </w:rPr>
        <w:t>יאות אר"ל. שפיר קאר"ל דמייתי סייעתא לר"י ממתני</w:t>
      </w:r>
      <w:r w:rsidRPr="00BA19AA">
        <w:rPr>
          <w:rFonts w:hint="cs"/>
          <w:sz w:val="21"/>
          <w:szCs w:val="21"/>
          <w:rtl/>
          <w:lang w:bidi="he-IL"/>
        </w:rPr>
        <w:t>':</w:t>
      </w:r>
    </w:p>
    <w:p w14:paraId="4E2F801F" w14:textId="7AFAB899" w:rsidR="00BB2F38" w:rsidRPr="00BA19AA" w:rsidRDefault="00BB2F38" w:rsidP="00BB2F38">
      <w:pPr>
        <w:ind w:left="-450"/>
        <w:jc w:val="right"/>
        <w:rPr>
          <w:sz w:val="21"/>
          <w:szCs w:val="21"/>
        </w:rPr>
      </w:pPr>
      <w:r w:rsidRPr="00BA19AA">
        <w:rPr>
          <w:rFonts w:cs="Arial"/>
          <w:sz w:val="21"/>
          <w:szCs w:val="21"/>
          <w:rtl/>
          <w:lang w:bidi="he-IL"/>
        </w:rPr>
        <w:t>ה"ג נעשה כעדות אחת באיש אחד. הכותב כל נכסיו לשני בני אדם בשטר אחד כיון דנכסים אינן מוחלקים כחד גופא דמיא א"נ כיון דבחד שטרא הוא ה"ל כאילו מעידים באיש אחד ובעדות אחד ועדות שנתבטלה מקצתה נתבטלה כולה</w:t>
      </w:r>
      <w:r w:rsidRPr="00BA19AA">
        <w:rPr>
          <w:rFonts w:cs="Arial" w:hint="cs"/>
          <w:sz w:val="21"/>
          <w:szCs w:val="21"/>
          <w:rtl/>
          <w:lang w:bidi="he-IL"/>
        </w:rPr>
        <w:t>:</w:t>
      </w:r>
    </w:p>
    <w:p w14:paraId="0F530F97" w14:textId="3D6EBDE3" w:rsidR="00BB2F38" w:rsidRPr="00BA19AA" w:rsidRDefault="00BB2F38" w:rsidP="00BB2F38">
      <w:pPr>
        <w:ind w:left="-450"/>
        <w:jc w:val="right"/>
        <w:rPr>
          <w:sz w:val="21"/>
          <w:szCs w:val="21"/>
          <w:lang w:bidi="he-IL"/>
        </w:rPr>
      </w:pPr>
      <w:r w:rsidRPr="00BA19AA">
        <w:rPr>
          <w:rFonts w:cs="Arial"/>
          <w:sz w:val="21"/>
          <w:szCs w:val="21"/>
          <w:rtl/>
          <w:lang w:bidi="he-IL"/>
        </w:rPr>
        <w:t>נעשה כשתי כיתי עדות. כיון דבתרי גופי מעידין ה"ל כשני כיתי עדים המעידין לכל גוף וגוף בפני עצמו כלומר כאילו העידו הנך סהדי לכל אחד ממקבלי המתנה בפני עצמו וכשרים לאחר ופסולין לזה דודאי לא מיפסיל עדות הכשר בשביל שהעידו להפסול ולא דמיא למתני' דמכות דהתם כל העדיות הפסולים והכשרים העידו יחד באיש א' ובדבר א' ובכה"ג ודאי כיון שבטלה מקצתה בטלה כולה</w:t>
      </w:r>
      <w:r w:rsidRPr="00BA19AA">
        <w:rPr>
          <w:rFonts w:hint="cs"/>
          <w:sz w:val="21"/>
          <w:szCs w:val="21"/>
          <w:rtl/>
          <w:lang w:bidi="he-IL"/>
        </w:rPr>
        <w:t>:</w:t>
      </w:r>
    </w:p>
    <w:p w14:paraId="3BD00105" w14:textId="18224C33" w:rsidR="00BB2F38" w:rsidRPr="00BA19AA" w:rsidRDefault="00BB2F38" w:rsidP="00BB2F38">
      <w:pPr>
        <w:ind w:left="-450"/>
        <w:jc w:val="right"/>
        <w:rPr>
          <w:rFonts w:cs="Arial"/>
          <w:sz w:val="21"/>
          <w:szCs w:val="21"/>
          <w:rtl/>
          <w:lang w:bidi="he-IL"/>
        </w:rPr>
      </w:pPr>
      <w:r w:rsidRPr="00BA19AA">
        <w:rPr>
          <w:rFonts w:cs="Arial"/>
          <w:sz w:val="21"/>
          <w:szCs w:val="21"/>
          <w:rtl/>
          <w:lang w:bidi="he-IL"/>
        </w:rPr>
        <w:t>עד שיאמר וכו'. לא סגי שיאמר תיבות אלו בפ"נ ובפ"נ אלא צ"ל בפ"נ ביום וכו' א"נ ב"ד שואלין אותו אם נכתב ונחתם ביום ולשמה וה"ה לשאר דקדוקי הגט</w:t>
      </w:r>
      <w:r w:rsidRPr="00BA19AA">
        <w:rPr>
          <w:rFonts w:cs="Arial" w:hint="cs"/>
          <w:sz w:val="21"/>
          <w:szCs w:val="21"/>
          <w:rtl/>
          <w:lang w:bidi="he-IL"/>
        </w:rPr>
        <w:t>:</w:t>
      </w:r>
    </w:p>
    <w:p w14:paraId="7B83B7B5" w14:textId="77777777" w:rsidR="00D76378" w:rsidRPr="00BA19AA" w:rsidRDefault="00D76378" w:rsidP="00D76378">
      <w:pPr>
        <w:ind w:left="-450"/>
        <w:jc w:val="right"/>
        <w:rPr>
          <w:sz w:val="21"/>
          <w:szCs w:val="21"/>
          <w:u w:val="single"/>
        </w:rPr>
      </w:pPr>
      <w:r w:rsidRPr="00BA19AA">
        <w:rPr>
          <w:rFonts w:cs="Arial"/>
          <w:sz w:val="21"/>
          <w:szCs w:val="21"/>
          <w:u w:val="single"/>
          <w:rtl/>
          <w:lang w:bidi="he-IL"/>
        </w:rPr>
        <w:t>יד רמ"ה מסכת בבא בתרא דף קלד עמוד ב</w:t>
      </w:r>
    </w:p>
    <w:p w14:paraId="76D1EE01" w14:textId="40A021D9" w:rsidR="00D76378" w:rsidRPr="00BA19AA" w:rsidRDefault="00D76378" w:rsidP="00D76378">
      <w:pPr>
        <w:ind w:left="-450"/>
        <w:jc w:val="right"/>
        <w:rPr>
          <w:sz w:val="21"/>
          <w:szCs w:val="21"/>
          <w:rtl/>
          <w:lang w:bidi="he-IL"/>
        </w:rPr>
      </w:pPr>
      <w:r w:rsidRPr="00BA19AA">
        <w:rPr>
          <w:rFonts w:cs="Arial"/>
          <w:sz w:val="21"/>
          <w:szCs w:val="21"/>
          <w:rtl/>
          <w:lang w:bidi="he-IL"/>
        </w:rPr>
        <w:t>וכיון דאיפסיקא הילכתא דפלגינן דיבורא ש"מ דאפילו בחד גופא נמי פלגינן. דלא תימא באיש פלוני בא על אשתו הוא דפלגינן דיבורא משום דהוו להו תרי גופי, ואף ע"ג דלא מהימן אאשתו מהימן אבועל. אלא אפילו בחד גופא פלגינן דיבורא, ואף על גב דלא מהימן אפלגא מהימן אאידך פלגא. הילכך ההיא דגרסינן בגמרא דבני מערבא (מכות פ"א ה"ז) כתב כל נכסיו לשני בני אדם והעדים קרובים לזה ורחוקים לזה פסול, ליתא אלא פלגינן דיבורא ואף על גב דלא מהימן להאי מהימן לאידך</w:t>
      </w:r>
      <w:r w:rsidRPr="00BA19AA">
        <w:rPr>
          <w:rFonts w:cs="Arial" w:hint="cs"/>
          <w:sz w:val="21"/>
          <w:szCs w:val="21"/>
          <w:rtl/>
          <w:lang w:bidi="he-IL"/>
        </w:rPr>
        <w:t>.</w:t>
      </w:r>
    </w:p>
    <w:sectPr w:rsidR="00D76378" w:rsidRPr="00BA19AA" w:rsidSect="00BA19AA">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DCB0" w14:textId="77777777" w:rsidR="009F3BBA" w:rsidRDefault="009F3BBA" w:rsidP="0012256B">
      <w:pPr>
        <w:spacing w:after="0" w:line="240" w:lineRule="auto"/>
      </w:pPr>
      <w:r>
        <w:separator/>
      </w:r>
    </w:p>
  </w:endnote>
  <w:endnote w:type="continuationSeparator" w:id="0">
    <w:p w14:paraId="555726BD" w14:textId="77777777" w:rsidR="009F3BBA" w:rsidRDefault="009F3BBA" w:rsidP="0012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B5DA" w14:textId="77777777" w:rsidR="009F3BBA" w:rsidRDefault="009F3BBA" w:rsidP="0012256B">
      <w:pPr>
        <w:spacing w:after="0" w:line="240" w:lineRule="auto"/>
      </w:pPr>
      <w:r>
        <w:separator/>
      </w:r>
    </w:p>
  </w:footnote>
  <w:footnote w:type="continuationSeparator" w:id="0">
    <w:p w14:paraId="381BF46C" w14:textId="77777777" w:rsidR="009F3BBA" w:rsidRDefault="009F3BBA" w:rsidP="0012256B">
      <w:pPr>
        <w:spacing w:after="0" w:line="240" w:lineRule="auto"/>
      </w:pPr>
      <w:r>
        <w:continuationSeparator/>
      </w:r>
    </w:p>
  </w:footnote>
  <w:footnote w:id="1">
    <w:p w14:paraId="0F1F14E9" w14:textId="58A41C8F" w:rsidR="0012256B" w:rsidRPr="0012256B" w:rsidRDefault="0012256B">
      <w:pPr>
        <w:pStyle w:val="FootnoteText"/>
        <w:rPr>
          <w:sz w:val="16"/>
          <w:szCs w:val="16"/>
          <w:lang w:bidi="he-IL"/>
        </w:rPr>
      </w:pPr>
      <w:r w:rsidRPr="0012256B">
        <w:rPr>
          <w:rStyle w:val="FootnoteReference"/>
          <w:sz w:val="16"/>
          <w:szCs w:val="16"/>
        </w:rPr>
        <w:footnoteRef/>
      </w:r>
      <w:r w:rsidRPr="0012256B">
        <w:rPr>
          <w:sz w:val="16"/>
          <w:szCs w:val="16"/>
        </w:rPr>
        <w:t xml:space="preserve"> </w:t>
      </w:r>
      <w:r w:rsidRPr="0012256B">
        <w:rPr>
          <w:sz w:val="16"/>
          <w:szCs w:val="16"/>
          <w:lang w:bidi="he-IL"/>
        </w:rPr>
        <w:t>See below</w:t>
      </w:r>
      <w:r>
        <w:rPr>
          <w:sz w:val="16"/>
          <w:szCs w:val="16"/>
          <w:lang w:bidi="he-IL"/>
        </w:rPr>
        <w:t xml:space="preserve">.  The </w:t>
      </w:r>
      <w:r>
        <w:rPr>
          <w:rFonts w:hint="cs"/>
          <w:sz w:val="16"/>
          <w:szCs w:val="16"/>
          <w:rtl/>
          <w:lang w:bidi="he-IL"/>
        </w:rPr>
        <w:t>פני משה</w:t>
      </w:r>
      <w:r>
        <w:rPr>
          <w:sz w:val="16"/>
          <w:szCs w:val="16"/>
          <w:lang w:bidi="he-IL"/>
        </w:rPr>
        <w:t xml:space="preserve"> has a running commentary on the Yerushalmi, in line with Rashi’s peirush on the Bavli. </w:t>
      </w:r>
    </w:p>
  </w:footnote>
  <w:footnote w:id="2">
    <w:p w14:paraId="7EDCE51D" w14:textId="17CC5C63" w:rsidR="00BB2F38" w:rsidRPr="00BB2F38" w:rsidRDefault="00BB2F38">
      <w:pPr>
        <w:pStyle w:val="FootnoteText"/>
        <w:rPr>
          <w:sz w:val="16"/>
          <w:szCs w:val="16"/>
          <w:lang w:bidi="he-IL"/>
        </w:rPr>
      </w:pPr>
      <w:r w:rsidRPr="00BB2F38">
        <w:rPr>
          <w:rStyle w:val="FootnoteReference"/>
          <w:sz w:val="16"/>
          <w:szCs w:val="16"/>
        </w:rPr>
        <w:footnoteRef/>
      </w:r>
      <w:r w:rsidRPr="00BB2F38">
        <w:rPr>
          <w:sz w:val="16"/>
          <w:szCs w:val="16"/>
        </w:rPr>
        <w:t xml:space="preserve"> </w:t>
      </w:r>
      <w:r w:rsidRPr="00BB2F38">
        <w:rPr>
          <w:sz w:val="16"/>
          <w:szCs w:val="16"/>
          <w:lang w:bidi="he-IL"/>
        </w:rPr>
        <w:t xml:space="preserve">See below.  The </w:t>
      </w:r>
      <w:r w:rsidRPr="00BB2F38">
        <w:rPr>
          <w:rFonts w:hint="cs"/>
          <w:sz w:val="16"/>
          <w:szCs w:val="16"/>
          <w:rtl/>
          <w:lang w:bidi="he-IL"/>
        </w:rPr>
        <w:t>קרבן העדה</w:t>
      </w:r>
      <w:r w:rsidRPr="00BB2F38">
        <w:rPr>
          <w:sz w:val="16"/>
          <w:szCs w:val="16"/>
          <w:lang w:bidi="he-IL"/>
        </w:rPr>
        <w:t xml:space="preserve"> also has a running commentary on the Yerushalmi.</w:t>
      </w:r>
    </w:p>
  </w:footnote>
  <w:footnote w:id="3">
    <w:p w14:paraId="2041FC6A" w14:textId="54F2B497" w:rsidR="00D76378" w:rsidRPr="00D76378" w:rsidRDefault="00D76378">
      <w:pPr>
        <w:pStyle w:val="FootnoteText"/>
        <w:rPr>
          <w:sz w:val="16"/>
          <w:szCs w:val="16"/>
          <w:lang w:bidi="he-IL"/>
        </w:rPr>
      </w:pPr>
      <w:r w:rsidRPr="00D76378">
        <w:rPr>
          <w:rStyle w:val="FootnoteReference"/>
          <w:sz w:val="16"/>
          <w:szCs w:val="16"/>
        </w:rPr>
        <w:footnoteRef/>
      </w:r>
      <w:r w:rsidRPr="00D76378">
        <w:rPr>
          <w:sz w:val="16"/>
          <w:szCs w:val="16"/>
        </w:rPr>
        <w:t xml:space="preserve"> </w:t>
      </w:r>
      <w:r w:rsidRPr="00D76378">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AF"/>
    <w:rsid w:val="000C4A05"/>
    <w:rsid w:val="0012256B"/>
    <w:rsid w:val="00147878"/>
    <w:rsid w:val="002F3E1F"/>
    <w:rsid w:val="00346EAF"/>
    <w:rsid w:val="008A1AE2"/>
    <w:rsid w:val="009F3BBA"/>
    <w:rsid w:val="00A46F84"/>
    <w:rsid w:val="00A86748"/>
    <w:rsid w:val="00AA07C0"/>
    <w:rsid w:val="00BA19AA"/>
    <w:rsid w:val="00BB2F38"/>
    <w:rsid w:val="00D763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63F3"/>
  <w15:chartTrackingRefBased/>
  <w15:docId w15:val="{72D4B4F1-1140-437F-8240-DA1F4432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56B"/>
    <w:rPr>
      <w:sz w:val="20"/>
      <w:szCs w:val="20"/>
    </w:rPr>
  </w:style>
  <w:style w:type="character" w:styleId="FootnoteReference">
    <w:name w:val="footnote reference"/>
    <w:basedOn w:val="DefaultParagraphFont"/>
    <w:uiPriority w:val="99"/>
    <w:semiHidden/>
    <w:unhideWhenUsed/>
    <w:rsid w:val="00122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D313-C0FA-4E58-B2B2-EBA69052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2022-08-11T17:34:00Z</dcterms:created>
  <dcterms:modified xsi:type="dcterms:W3CDTF">2022-08-12T15:51:00Z</dcterms:modified>
</cp:coreProperties>
</file>