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6CBA" w14:textId="77777777" w:rsidR="003B42E0" w:rsidRPr="003B42E0" w:rsidRDefault="003B42E0" w:rsidP="003B42E0">
      <w:pPr>
        <w:jc w:val="right"/>
        <w:rPr>
          <w:rtl/>
          <w:lang w:bidi="he-IL"/>
        </w:rPr>
      </w:pPr>
      <w:r w:rsidRPr="003B42E0">
        <w:rPr>
          <w:rFonts w:hint="cs"/>
          <w:rtl/>
          <w:lang w:bidi="he-IL"/>
        </w:rPr>
        <w:t>הרב שמואל דוב ווייס</w:t>
      </w:r>
    </w:p>
    <w:p w14:paraId="0FDCC10A" w14:textId="3775433B" w:rsidR="003B42E0" w:rsidRDefault="003B42E0" w:rsidP="003B42E0">
      <w:pPr>
        <w:jc w:val="center"/>
        <w:rPr>
          <w:vertAlign w:val="superscript"/>
          <w:rtl/>
          <w:lang w:bidi="he-IL"/>
        </w:rPr>
      </w:pPr>
      <w:r>
        <w:rPr>
          <w:rFonts w:hint="cs"/>
          <w:b/>
          <w:bCs/>
          <w:sz w:val="30"/>
          <w:szCs w:val="30"/>
          <w:u w:val="single"/>
          <w:rtl/>
          <w:lang w:bidi="he-IL"/>
        </w:rPr>
        <w:t>פלגינן דיבורא</w:t>
      </w:r>
      <w:r w:rsidRPr="003B42E0">
        <w:rPr>
          <w:rFonts w:hint="cs"/>
          <w:rtl/>
          <w:lang w:bidi="he-IL"/>
        </w:rPr>
        <w:t xml:space="preserve"> (#1)</w:t>
      </w:r>
    </w:p>
    <w:p w14:paraId="28A10594" w14:textId="08EE90FE" w:rsidR="003B42E0" w:rsidRDefault="009538B9" w:rsidP="003B42E0">
      <w:pPr>
        <w:jc w:val="right"/>
        <w:rPr>
          <w:rtl/>
          <w:lang w:bidi="he-IL"/>
        </w:rPr>
      </w:pPr>
      <w:r w:rsidRPr="009538B9">
        <w:rPr>
          <w:rFonts w:hint="cs"/>
          <w:b/>
          <w:bCs/>
          <w:rtl/>
          <w:lang w:bidi="he-IL"/>
        </w:rPr>
        <w:t>גמ'</w:t>
      </w:r>
      <w:r>
        <w:rPr>
          <w:rFonts w:hint="cs"/>
          <w:rtl/>
          <w:lang w:bidi="he-IL"/>
        </w:rPr>
        <w:t xml:space="preserve"> ז. ["אילעא וטוביה... אזיל מלוה"], </w:t>
      </w:r>
      <w:r w:rsidRPr="009538B9">
        <w:rPr>
          <w:rFonts w:hint="cs"/>
          <w:b/>
          <w:bCs/>
          <w:rtl/>
          <w:lang w:bidi="he-IL"/>
        </w:rPr>
        <w:t>רש"י</w:t>
      </w:r>
      <w:r>
        <w:rPr>
          <w:rFonts w:hint="cs"/>
          <w:rtl/>
          <w:lang w:bidi="he-IL"/>
        </w:rPr>
        <w:t xml:space="preserve"> שם</w:t>
      </w:r>
    </w:p>
    <w:p w14:paraId="433D0A75" w14:textId="36AB33B9" w:rsidR="009538B9" w:rsidRDefault="009538B9" w:rsidP="003B42E0">
      <w:pPr>
        <w:jc w:val="right"/>
        <w:rPr>
          <w:rtl/>
          <w:lang w:bidi="he-IL"/>
        </w:rPr>
      </w:pPr>
      <w:r w:rsidRPr="009538B9">
        <w:rPr>
          <w:rFonts w:hint="cs"/>
          <w:b/>
          <w:bCs/>
          <w:rtl/>
          <w:lang w:bidi="he-IL"/>
        </w:rPr>
        <w:t>גמ'</w:t>
      </w:r>
      <w:r>
        <w:rPr>
          <w:rFonts w:hint="cs"/>
          <w:b/>
          <w:bCs/>
          <w:rtl/>
          <w:lang w:bidi="he-IL"/>
        </w:rPr>
        <w:t xml:space="preserve"> </w:t>
      </w:r>
      <w:r w:rsidRPr="009538B9">
        <w:rPr>
          <w:rFonts w:hint="cs"/>
          <w:rtl/>
          <w:lang w:bidi="he-IL"/>
        </w:rPr>
        <w:t>סנהדרין</w:t>
      </w:r>
      <w:r>
        <w:rPr>
          <w:rFonts w:hint="cs"/>
          <w:rtl/>
          <w:lang w:bidi="he-IL"/>
        </w:rPr>
        <w:t xml:space="preserve"> ט: ["ואמר רב יוסף פלוני רבעו..."] - י. [עד </w:t>
      </w:r>
      <w:r w:rsidR="00B6191A">
        <w:rPr>
          <w:rFonts w:hint="cs"/>
          <w:rtl/>
          <w:lang w:bidi="he-IL"/>
        </w:rPr>
        <w:t>"קא משמע לן", "דבעי רבא...</w:t>
      </w:r>
      <w:r>
        <w:rPr>
          <w:rFonts w:hint="cs"/>
          <w:rtl/>
          <w:lang w:bidi="he-IL"/>
        </w:rPr>
        <w:t xml:space="preserve"> ואין אדם קרוב אצל ממונו"], </w:t>
      </w:r>
      <w:r w:rsidRPr="009538B9">
        <w:rPr>
          <w:rFonts w:hint="cs"/>
          <w:b/>
          <w:bCs/>
          <w:rtl/>
          <w:lang w:bidi="he-IL"/>
        </w:rPr>
        <w:t>רש"י</w:t>
      </w:r>
      <w:r>
        <w:rPr>
          <w:rFonts w:hint="cs"/>
          <w:rtl/>
          <w:lang w:bidi="he-IL"/>
        </w:rPr>
        <w:t xml:space="preserve"> שם</w:t>
      </w:r>
    </w:p>
    <w:p w14:paraId="2528760C" w14:textId="2B6462A7" w:rsidR="009538B9" w:rsidRDefault="009538B9" w:rsidP="009538B9">
      <w:pPr>
        <w:jc w:val="right"/>
        <w:rPr>
          <w:rtl/>
          <w:lang w:bidi="he-IL"/>
        </w:rPr>
      </w:pPr>
      <w:r w:rsidRPr="009538B9">
        <w:rPr>
          <w:rFonts w:hint="cs"/>
          <w:b/>
          <w:bCs/>
          <w:rtl/>
          <w:lang w:bidi="he-IL"/>
        </w:rPr>
        <w:t xml:space="preserve">גמ' </w:t>
      </w:r>
      <w:r w:rsidRPr="009538B9">
        <w:rPr>
          <w:rFonts w:hint="cs"/>
          <w:rtl/>
          <w:lang w:bidi="he-IL"/>
        </w:rPr>
        <w:t>סנהדרין</w:t>
      </w:r>
      <w:r>
        <w:rPr>
          <w:rFonts w:hint="cs"/>
          <w:rtl/>
          <w:lang w:bidi="he-IL"/>
        </w:rPr>
        <w:t xml:space="preserve"> כה. ["אמר רבא לוה ברבית... ואין אדם משים עצמו רשע"], </w:t>
      </w:r>
      <w:r w:rsidRPr="009538B9">
        <w:rPr>
          <w:rFonts w:hint="cs"/>
          <w:b/>
          <w:bCs/>
          <w:rtl/>
          <w:lang w:bidi="he-IL"/>
        </w:rPr>
        <w:t>רש"י</w:t>
      </w:r>
      <w:r>
        <w:rPr>
          <w:rFonts w:hint="cs"/>
          <w:rtl/>
          <w:lang w:bidi="he-IL"/>
        </w:rPr>
        <w:t xml:space="preserve"> שם</w:t>
      </w:r>
    </w:p>
    <w:p w14:paraId="45296BD2" w14:textId="53E2B388" w:rsidR="009538B9" w:rsidRDefault="009538B9" w:rsidP="009538B9">
      <w:pPr>
        <w:ind w:left="-630"/>
        <w:jc w:val="right"/>
        <w:rPr>
          <w:rtl/>
          <w:lang w:bidi="he-IL"/>
        </w:rPr>
      </w:pPr>
      <w:r>
        <w:rPr>
          <w:rFonts w:hint="cs"/>
          <w:b/>
          <w:bCs/>
          <w:rtl/>
          <w:lang w:bidi="he-IL"/>
        </w:rPr>
        <w:t>גמ'</w:t>
      </w:r>
      <w:r>
        <w:rPr>
          <w:rFonts w:hint="cs"/>
          <w:rtl/>
          <w:lang w:bidi="he-IL"/>
        </w:rPr>
        <w:t xml:space="preserve"> יבמות כה. ["מתני' ... תנשא אשתו", "מת הרגתיו..."] - כה: [עד "... </w:t>
      </w:r>
      <w:r w:rsidRPr="009538B9">
        <w:rPr>
          <w:rFonts w:hint="cs"/>
          <w:rtl/>
          <w:lang w:bidi="he-IL"/>
        </w:rPr>
        <w:t>משים עצמו רשע</w:t>
      </w:r>
      <w:r>
        <w:rPr>
          <w:rFonts w:hint="cs"/>
          <w:rtl/>
          <w:lang w:bidi="he-IL"/>
        </w:rPr>
        <w:t xml:space="preserve">"], </w:t>
      </w:r>
      <w:r w:rsidRPr="009538B9">
        <w:rPr>
          <w:rFonts w:hint="cs"/>
          <w:b/>
          <w:bCs/>
          <w:rtl/>
          <w:lang w:bidi="he-IL"/>
        </w:rPr>
        <w:t>רש"י</w:t>
      </w:r>
      <w:r>
        <w:rPr>
          <w:rFonts w:hint="cs"/>
          <w:b/>
          <w:bCs/>
          <w:rtl/>
          <w:lang w:bidi="he-IL"/>
        </w:rPr>
        <w:t xml:space="preserve"> </w:t>
      </w:r>
      <w:r w:rsidRPr="009538B9">
        <w:rPr>
          <w:rFonts w:hint="cs"/>
          <w:rtl/>
          <w:lang w:bidi="he-IL"/>
        </w:rPr>
        <w:t>שם</w:t>
      </w:r>
    </w:p>
    <w:p w14:paraId="3B0E3D4D" w14:textId="146AAD03" w:rsidR="009538B9" w:rsidRDefault="009538B9" w:rsidP="009538B9">
      <w:pPr>
        <w:ind w:left="-630"/>
        <w:jc w:val="right"/>
        <w:rPr>
          <w:rtl/>
          <w:lang w:bidi="he-IL"/>
        </w:rPr>
      </w:pPr>
      <w:r w:rsidRPr="009538B9">
        <w:rPr>
          <w:rFonts w:hint="cs"/>
          <w:b/>
          <w:bCs/>
          <w:rtl/>
          <w:lang w:bidi="he-IL"/>
        </w:rPr>
        <w:t>רא"ש</w:t>
      </w:r>
      <w:r>
        <w:rPr>
          <w:rFonts w:hint="cs"/>
          <w:b/>
          <w:bCs/>
          <w:rtl/>
          <w:lang w:bidi="he-IL"/>
        </w:rPr>
        <w:t xml:space="preserve"> </w:t>
      </w:r>
      <w:r w:rsidRPr="009538B9">
        <w:rPr>
          <w:rFonts w:hint="cs"/>
          <w:rtl/>
          <w:lang w:bidi="he-IL"/>
        </w:rPr>
        <w:t>מכות</w:t>
      </w:r>
      <w:r>
        <w:rPr>
          <w:rFonts w:hint="cs"/>
          <w:rtl/>
          <w:lang w:bidi="he-IL"/>
        </w:rPr>
        <w:t xml:space="preserve"> (א:י"ג) ["וא"ת ונהימניה לגבי לוה... כיון שיש שטר</w:t>
      </w:r>
      <w:r w:rsidR="00632A88">
        <w:rPr>
          <w:rFonts w:hint="cs"/>
          <w:rtl/>
          <w:lang w:bidi="he-IL"/>
        </w:rPr>
        <w:t xml:space="preserve"> שהוא הערב"]</w:t>
      </w:r>
    </w:p>
    <w:p w14:paraId="5B7C15AB" w14:textId="488CFD9F" w:rsidR="00632A88" w:rsidRDefault="00632A88" w:rsidP="009538B9">
      <w:pPr>
        <w:ind w:left="-630"/>
        <w:jc w:val="right"/>
        <w:rPr>
          <w:rtl/>
          <w:lang w:bidi="he-IL"/>
        </w:rPr>
      </w:pPr>
      <w:r>
        <w:rPr>
          <w:rFonts w:hint="cs"/>
          <w:b/>
          <w:bCs/>
          <w:rtl/>
          <w:lang w:bidi="he-IL"/>
        </w:rPr>
        <w:t>גמ'</w:t>
      </w:r>
      <w:r>
        <w:rPr>
          <w:rFonts w:hint="cs"/>
          <w:rtl/>
          <w:lang w:bidi="he-IL"/>
        </w:rPr>
        <w:t xml:space="preserve"> ב"ב קלד: ["אמר רב יוסף השתא דאמרת... בחד גופא לא פלגינן"], </w:t>
      </w:r>
      <w:r w:rsidRPr="00632A88">
        <w:rPr>
          <w:rFonts w:hint="cs"/>
          <w:b/>
          <w:bCs/>
          <w:rtl/>
          <w:lang w:bidi="he-IL"/>
        </w:rPr>
        <w:t>רשב"ם</w:t>
      </w:r>
      <w:r>
        <w:rPr>
          <w:rFonts w:hint="cs"/>
          <w:rtl/>
          <w:lang w:bidi="he-IL"/>
        </w:rPr>
        <w:t xml:space="preserve"> שם</w:t>
      </w:r>
    </w:p>
    <w:p w14:paraId="63EA9A58" w14:textId="7CE4E124" w:rsidR="003B4C59" w:rsidRDefault="003B4C59" w:rsidP="009538B9">
      <w:pPr>
        <w:ind w:left="-630"/>
        <w:jc w:val="right"/>
        <w:rPr>
          <w:rtl/>
          <w:lang w:bidi="he-IL"/>
        </w:rPr>
      </w:pPr>
      <w:bookmarkStart w:id="0" w:name="_Hlk111035213"/>
      <w:r w:rsidRPr="003B4C59">
        <w:rPr>
          <w:rFonts w:hint="cs"/>
          <w:b/>
          <w:bCs/>
          <w:rtl/>
          <w:lang w:bidi="he-IL"/>
        </w:rPr>
        <w:t>חידושי הרמב"ן</w:t>
      </w:r>
      <w:r>
        <w:rPr>
          <w:rFonts w:hint="cs"/>
          <w:b/>
          <w:bCs/>
          <w:rtl/>
          <w:lang w:bidi="he-IL"/>
        </w:rPr>
        <w:t xml:space="preserve"> </w:t>
      </w:r>
      <w:r w:rsidRPr="003B4C59">
        <w:rPr>
          <w:rFonts w:hint="cs"/>
          <w:rtl/>
          <w:lang w:bidi="he-IL"/>
        </w:rPr>
        <w:t>שם</w:t>
      </w:r>
      <w:r>
        <w:rPr>
          <w:rFonts w:hint="cs"/>
          <w:rtl/>
          <w:lang w:bidi="he-IL"/>
        </w:rPr>
        <w:t xml:space="preserve"> (ד"ה</w:t>
      </w:r>
      <w:bookmarkEnd w:id="0"/>
      <w:r>
        <w:rPr>
          <w:rFonts w:hint="cs"/>
          <w:rtl/>
          <w:lang w:bidi="he-IL"/>
        </w:rPr>
        <w:t xml:space="preserve"> מאי שנא, בתרי גופי)</w:t>
      </w:r>
    </w:p>
    <w:p w14:paraId="409BAFEA" w14:textId="77777777" w:rsidR="003B4C59" w:rsidRDefault="003B4C59" w:rsidP="003B4C59">
      <w:pPr>
        <w:ind w:left="-630"/>
        <w:jc w:val="right"/>
        <w:rPr>
          <w:rtl/>
          <w:lang w:bidi="he-IL"/>
        </w:rPr>
      </w:pPr>
      <w:r w:rsidRPr="003B4C59">
        <w:rPr>
          <w:rFonts w:hint="cs"/>
          <w:b/>
          <w:bCs/>
          <w:rtl/>
          <w:lang w:bidi="he-IL"/>
        </w:rPr>
        <w:t>חידושי הר</w:t>
      </w:r>
      <w:r>
        <w:rPr>
          <w:rFonts w:hint="cs"/>
          <w:b/>
          <w:bCs/>
          <w:rtl/>
          <w:lang w:bidi="he-IL"/>
        </w:rPr>
        <w:t xml:space="preserve">יטב"א </w:t>
      </w:r>
      <w:r w:rsidRPr="003B4C59">
        <w:rPr>
          <w:rFonts w:hint="cs"/>
          <w:rtl/>
          <w:lang w:bidi="he-IL"/>
        </w:rPr>
        <w:t>שם</w:t>
      </w:r>
      <w:r>
        <w:rPr>
          <w:rFonts w:hint="cs"/>
          <w:rtl/>
          <w:lang w:bidi="he-IL"/>
        </w:rPr>
        <w:t xml:space="preserve"> (ד"ה ו</w:t>
      </w:r>
      <w:r w:rsidRPr="003B4C59">
        <w:rPr>
          <w:rFonts w:hint="cs"/>
          <w:rtl/>
          <w:lang w:bidi="he-IL"/>
        </w:rPr>
        <w:t>מאי שנא, בתרי גופי)</w:t>
      </w:r>
    </w:p>
    <w:p w14:paraId="739E2460" w14:textId="7BFED632" w:rsidR="003B4C59" w:rsidRDefault="003B4C59" w:rsidP="003B4C59">
      <w:pPr>
        <w:ind w:left="-630"/>
        <w:jc w:val="right"/>
        <w:rPr>
          <w:rtl/>
          <w:lang w:bidi="he-IL"/>
        </w:rPr>
      </w:pPr>
      <w:r w:rsidRPr="003B4C59">
        <w:rPr>
          <w:rFonts w:hint="cs"/>
          <w:b/>
          <w:bCs/>
          <w:rtl/>
          <w:lang w:bidi="he-IL"/>
        </w:rPr>
        <w:t>גמ'</w:t>
      </w:r>
      <w:r>
        <w:rPr>
          <w:rFonts w:hint="cs"/>
          <w:b/>
          <w:bCs/>
          <w:rtl/>
          <w:lang w:bidi="he-IL"/>
        </w:rPr>
        <w:t xml:space="preserve"> </w:t>
      </w:r>
      <w:r w:rsidRPr="003B4C59">
        <w:rPr>
          <w:rFonts w:hint="cs"/>
          <w:rtl/>
          <w:lang w:bidi="he-IL"/>
        </w:rPr>
        <w:t>גיטין</w:t>
      </w:r>
      <w:r>
        <w:rPr>
          <w:rFonts w:hint="cs"/>
          <w:rtl/>
          <w:lang w:bidi="he-IL"/>
        </w:rPr>
        <w:t xml:space="preserve"> ח: [</w:t>
      </w:r>
      <w:r w:rsidR="00FB173A">
        <w:rPr>
          <w:rFonts w:hint="cs"/>
          <w:rtl/>
          <w:lang w:bidi="he-IL"/>
        </w:rPr>
        <w:t xml:space="preserve">"ת"ר עבד שהביא גיטו... דאמר פלגינן דיבורא"], </w:t>
      </w:r>
      <w:r w:rsidR="00FB173A" w:rsidRPr="00FB173A">
        <w:rPr>
          <w:rFonts w:hint="cs"/>
          <w:b/>
          <w:bCs/>
          <w:rtl/>
          <w:lang w:bidi="he-IL"/>
        </w:rPr>
        <w:t>רש"י</w:t>
      </w:r>
      <w:r w:rsidR="00FB173A">
        <w:rPr>
          <w:rFonts w:hint="cs"/>
          <w:b/>
          <w:bCs/>
          <w:rtl/>
          <w:lang w:bidi="he-IL"/>
        </w:rPr>
        <w:t xml:space="preserve"> </w:t>
      </w:r>
      <w:r w:rsidR="00FB173A" w:rsidRPr="00FB173A">
        <w:rPr>
          <w:rFonts w:hint="cs"/>
          <w:rtl/>
          <w:lang w:bidi="he-IL"/>
        </w:rPr>
        <w:t>שם</w:t>
      </w:r>
    </w:p>
    <w:p w14:paraId="7A6C4355" w14:textId="37C2AAE1" w:rsidR="00FB173A" w:rsidRDefault="00FB173A" w:rsidP="003B4C59">
      <w:pPr>
        <w:ind w:left="-630"/>
        <w:jc w:val="right"/>
        <w:rPr>
          <w:rtl/>
          <w:lang w:bidi="he-IL"/>
        </w:rPr>
      </w:pPr>
      <w:r w:rsidRPr="003B4C59">
        <w:rPr>
          <w:rFonts w:hint="cs"/>
          <w:b/>
          <w:bCs/>
          <w:rtl/>
          <w:lang w:bidi="he-IL"/>
        </w:rPr>
        <w:t>חידושי הרמב"ן</w:t>
      </w:r>
      <w:r>
        <w:rPr>
          <w:rFonts w:hint="cs"/>
          <w:b/>
          <w:bCs/>
          <w:rtl/>
          <w:lang w:bidi="he-IL"/>
        </w:rPr>
        <w:t xml:space="preserve"> </w:t>
      </w:r>
      <w:r w:rsidRPr="003B4C59">
        <w:rPr>
          <w:rFonts w:hint="cs"/>
          <w:rtl/>
          <w:lang w:bidi="he-IL"/>
        </w:rPr>
        <w:t>שם</w:t>
      </w:r>
      <w:r>
        <w:rPr>
          <w:rFonts w:hint="cs"/>
          <w:rtl/>
          <w:lang w:bidi="he-IL"/>
        </w:rPr>
        <w:t xml:space="preserve"> (ד"ה ואסיקנא) [עד "... והכא לטעמיה אזיל"]</w:t>
      </w:r>
    </w:p>
    <w:p w14:paraId="30594331" w14:textId="38BD4102" w:rsidR="00B63FF0" w:rsidRDefault="00B63FF0" w:rsidP="00B63FF0">
      <w:pPr>
        <w:ind w:left="-630"/>
        <w:jc w:val="right"/>
        <w:rPr>
          <w:rFonts w:cs="Arial"/>
          <w:b/>
          <w:bCs/>
          <w:rtl/>
          <w:lang w:bidi="he-IL"/>
        </w:rPr>
      </w:pPr>
      <w:r w:rsidRPr="00B63FF0">
        <w:rPr>
          <w:rFonts w:cs="Arial"/>
          <w:b/>
          <w:bCs/>
          <w:rtl/>
          <w:lang w:bidi="he-IL"/>
        </w:rPr>
        <w:t xml:space="preserve">קובץ הערות </w:t>
      </w:r>
      <w:r w:rsidRPr="00B63FF0">
        <w:rPr>
          <w:rFonts w:cs="Arial" w:hint="cs"/>
          <w:rtl/>
          <w:lang w:bidi="he-IL"/>
        </w:rPr>
        <w:t>(</w:t>
      </w:r>
      <w:r w:rsidRPr="00B63FF0">
        <w:rPr>
          <w:rFonts w:cs="Arial"/>
          <w:rtl/>
          <w:lang w:bidi="he-IL"/>
        </w:rPr>
        <w:t>סימן כ</w:t>
      </w:r>
      <w:r>
        <w:rPr>
          <w:rFonts w:cs="Arial" w:hint="cs"/>
          <w:rtl/>
          <w:lang w:bidi="he-IL"/>
        </w:rPr>
        <w:t>"</w:t>
      </w:r>
      <w:r w:rsidRPr="00B63FF0">
        <w:rPr>
          <w:rFonts w:cs="Arial"/>
          <w:rtl/>
          <w:lang w:bidi="he-IL"/>
        </w:rPr>
        <w:t>א סעיף י</w:t>
      </w:r>
      <w:r>
        <w:rPr>
          <w:rFonts w:cs="Arial" w:hint="cs"/>
          <w:rtl/>
          <w:lang w:bidi="he-IL"/>
        </w:rPr>
        <w:t>"</w:t>
      </w:r>
      <w:r w:rsidRPr="00B63FF0">
        <w:rPr>
          <w:rFonts w:cs="Arial"/>
          <w:rtl/>
          <w:lang w:bidi="he-IL"/>
        </w:rPr>
        <w:t>א</w:t>
      </w:r>
      <w:r>
        <w:rPr>
          <w:rFonts w:cs="Arial" w:hint="cs"/>
          <w:rtl/>
          <w:lang w:bidi="he-IL"/>
        </w:rPr>
        <w:t>-</w:t>
      </w:r>
      <w:r w:rsidRPr="00B63FF0">
        <w:rPr>
          <w:rFonts w:cs="Arial"/>
          <w:rtl/>
          <w:lang w:bidi="he-IL"/>
        </w:rPr>
        <w:t>י</w:t>
      </w:r>
      <w:r>
        <w:rPr>
          <w:rFonts w:cs="Arial" w:hint="cs"/>
          <w:rtl/>
          <w:lang w:bidi="he-IL"/>
        </w:rPr>
        <w:t>"</w:t>
      </w:r>
      <w:r w:rsidRPr="00B63FF0">
        <w:rPr>
          <w:rFonts w:cs="Arial"/>
          <w:rtl/>
          <w:lang w:bidi="he-IL"/>
        </w:rPr>
        <w:t>ב</w:t>
      </w:r>
      <w:r>
        <w:rPr>
          <w:rFonts w:cs="Arial" w:hint="cs"/>
          <w:rtl/>
          <w:lang w:bidi="he-IL"/>
        </w:rPr>
        <w:t>)</w:t>
      </w:r>
      <w:r>
        <w:rPr>
          <w:rStyle w:val="FootnoteReference"/>
          <w:rFonts w:cs="Arial"/>
          <w:rtl/>
          <w:lang w:bidi="he-IL"/>
        </w:rPr>
        <w:footnoteReference w:id="1"/>
      </w:r>
    </w:p>
    <w:p w14:paraId="7A1A2C4A" w14:textId="5921FD5B" w:rsidR="00B63FF0" w:rsidRDefault="00B63FF0" w:rsidP="00B63FF0">
      <w:pPr>
        <w:ind w:left="-630"/>
        <w:jc w:val="right"/>
        <w:rPr>
          <w:rFonts w:cs="Arial"/>
          <w:b/>
          <w:bCs/>
          <w:rtl/>
          <w:lang w:bidi="he-IL"/>
        </w:rPr>
      </w:pPr>
    </w:p>
    <w:p w14:paraId="08016A3F" w14:textId="31F264AB" w:rsidR="00B63FF0" w:rsidRPr="00B63FF0" w:rsidRDefault="00B63FF0" w:rsidP="00B63FF0">
      <w:pPr>
        <w:ind w:left="-630"/>
        <w:jc w:val="right"/>
        <w:rPr>
          <w:u w:val="single"/>
        </w:rPr>
      </w:pPr>
      <w:r w:rsidRPr="00B63FF0">
        <w:rPr>
          <w:u w:val="single"/>
          <w:rtl/>
          <w:lang w:bidi="he-IL"/>
        </w:rPr>
        <w:t>קובץ הערות סימן כא סעיף יא - יב</w:t>
      </w:r>
    </w:p>
    <w:p w14:paraId="42225706" w14:textId="4140A135" w:rsidR="00FB173A" w:rsidRPr="003B42E0" w:rsidRDefault="00B63FF0" w:rsidP="00B63FF0">
      <w:pPr>
        <w:ind w:left="-630"/>
        <w:jc w:val="right"/>
        <w:rPr>
          <w:rtl/>
          <w:lang w:bidi="he-IL"/>
        </w:rPr>
      </w:pPr>
      <w:r w:rsidRPr="00B63FF0">
        <w:rPr>
          <w:rFonts w:cs="Arial"/>
          <w:rtl/>
          <w:lang w:bidi="he-IL"/>
        </w:rPr>
        <w:t xml:space="preserve">ובפ"ק דגיטין (דף ח' ע"ב), איבעיא להו כל נכסי קנוין לך מהו, ופליגי התם אביי ורבא אי אמרינן פלגינן דיבורא. והך פלגינן דיבורא, על כרחך פלגינן נאמנות הוא, דא"א כאן לומר שמקצת הדיבור אמת ומקצתו אינו אמת, אלא דלענין העבד אנו מאמינין לו בכל דיבורו, ולענין הנכסים אינו נאמן כלל. וקשה מ"ט דאביי דפליג בזה, דהא בעיקר דין פלגינן נאמנות ליכא פלוגתא כלל, וכדתנן בע"א אומר מת בעלה, נאמן להתירה ולא לנחלה, וכן באומר בני זה גדול הוא, נאמן לאיסורין ולא לעונשין </w:t>
      </w:r>
      <w:r>
        <w:rPr>
          <w:rFonts w:cs="Arial" w:hint="cs"/>
          <w:rtl/>
          <w:lang w:bidi="he-IL"/>
        </w:rPr>
        <w:t>...</w:t>
      </w:r>
      <w:r>
        <w:rPr>
          <w:rFonts w:hint="cs"/>
          <w:rtl/>
          <w:lang w:bidi="he-IL"/>
        </w:rPr>
        <w:t xml:space="preserve"> </w:t>
      </w:r>
      <w:r w:rsidRPr="00B63FF0">
        <w:rPr>
          <w:rFonts w:cs="Arial"/>
          <w:rtl/>
          <w:lang w:bidi="he-IL"/>
        </w:rPr>
        <w:t xml:space="preserve">והנה בכותב בשטר כל נכסי נתונין לפלוני, יש לחקור אם היא הקנאה אחת על כל הנכסים, וכל חפץ וחפץ שהוא זוכה בו הוא מפני שהוא חלק מכללות כל נכסיו, או שהן קנינין חלוקין על כל חפץ מצד עצמו, אלא שקונה ע"י שטר אחד. וזהו פלוגתתן, אי אמרינן פלגינן דיבורא בכה"ג, בין לקיום הדבר בין לברורי מילתא. דאי נימא שהיא הקנאה אחת על כללות כל הנכסים, וכל חפץ וחפץ שהוא זוכה אין קנינו בו מצד עצמו אלא מפני שהוא חלק מכללות הנכסים, לא שייך לומר פלגינן נאמנות, שנאמינהו על העבד, ולא על כל הנכסים, כיון דקנין העבד הוא בתולדה מקנין כל הנכסים </w:t>
      </w:r>
      <w:r>
        <w:rPr>
          <w:rFonts w:cs="Arial" w:hint="cs"/>
          <w:rtl/>
          <w:lang w:bidi="he-IL"/>
        </w:rPr>
        <w:t>..</w:t>
      </w:r>
      <w:r w:rsidRPr="00B63FF0">
        <w:rPr>
          <w:rFonts w:cs="Arial"/>
          <w:rtl/>
          <w:lang w:bidi="he-IL"/>
        </w:rPr>
        <w:t xml:space="preserve">. אבל אם נאמר שזכיית כל הנכסים הן קנינים נפרדים, שקונה כל חפץ מצד עצמו ולא מפני שהוא חלק מהכל, שפיר אפשר לומר פלגינן נאמנות, אף שכולן תלוין בדבר אחד, אם השטר מזויף או לא, כמו בע"א דנאמן להתירה ולא לנחלה, אף ששני הדינין תלוין במיתת הבעל, אבל אינן בתולדה אחד מחבירו. </w:t>
      </w:r>
    </w:p>
    <w:p w14:paraId="03193EE0" w14:textId="77777777" w:rsidR="008530F9" w:rsidRDefault="00000000">
      <w:pPr>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570E" w14:textId="77777777" w:rsidR="00363F42" w:rsidRDefault="00363F42" w:rsidP="003B42E0">
      <w:pPr>
        <w:spacing w:after="0" w:line="240" w:lineRule="auto"/>
      </w:pPr>
      <w:r>
        <w:separator/>
      </w:r>
    </w:p>
  </w:endnote>
  <w:endnote w:type="continuationSeparator" w:id="0">
    <w:p w14:paraId="787093E2" w14:textId="77777777" w:rsidR="00363F42" w:rsidRDefault="00363F42" w:rsidP="003B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A292" w14:textId="77777777" w:rsidR="00363F42" w:rsidRDefault="00363F42" w:rsidP="003B42E0">
      <w:pPr>
        <w:spacing w:after="0" w:line="240" w:lineRule="auto"/>
      </w:pPr>
      <w:r>
        <w:separator/>
      </w:r>
    </w:p>
  </w:footnote>
  <w:footnote w:type="continuationSeparator" w:id="0">
    <w:p w14:paraId="4D0C06C6" w14:textId="77777777" w:rsidR="00363F42" w:rsidRDefault="00363F42" w:rsidP="003B42E0">
      <w:pPr>
        <w:spacing w:after="0" w:line="240" w:lineRule="auto"/>
      </w:pPr>
      <w:r>
        <w:continuationSeparator/>
      </w:r>
    </w:p>
  </w:footnote>
  <w:footnote w:id="1">
    <w:p w14:paraId="4F73C716" w14:textId="67FCBB76" w:rsidR="00B63FF0" w:rsidRPr="00B63FF0" w:rsidRDefault="00B63FF0">
      <w:pPr>
        <w:pStyle w:val="FootnoteText"/>
        <w:rPr>
          <w:sz w:val="16"/>
          <w:szCs w:val="16"/>
          <w:lang w:bidi="he-IL"/>
        </w:rPr>
      </w:pPr>
      <w:r w:rsidRPr="00B63FF0">
        <w:rPr>
          <w:rStyle w:val="FootnoteReference"/>
          <w:sz w:val="16"/>
          <w:szCs w:val="16"/>
        </w:rPr>
        <w:footnoteRef/>
      </w:r>
      <w:r w:rsidRPr="00B63FF0">
        <w:rPr>
          <w:sz w:val="16"/>
          <w:szCs w:val="16"/>
        </w:rPr>
        <w:t xml:space="preserve"> </w:t>
      </w:r>
      <w:r w:rsidRPr="00B63FF0">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E0"/>
    <w:rsid w:val="00363F42"/>
    <w:rsid w:val="00394830"/>
    <w:rsid w:val="003B42E0"/>
    <w:rsid w:val="003B4C59"/>
    <w:rsid w:val="00632A88"/>
    <w:rsid w:val="008A1AE2"/>
    <w:rsid w:val="009538B9"/>
    <w:rsid w:val="00A46F84"/>
    <w:rsid w:val="00B6191A"/>
    <w:rsid w:val="00B63FF0"/>
    <w:rsid w:val="00FB17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3C19"/>
  <w15:chartTrackingRefBased/>
  <w15:docId w15:val="{95576A95-0538-4891-83E1-BCABF7D4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4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2E0"/>
    <w:rPr>
      <w:sz w:val="20"/>
      <w:szCs w:val="20"/>
    </w:rPr>
  </w:style>
  <w:style w:type="character" w:styleId="FootnoteReference">
    <w:name w:val="footnote reference"/>
    <w:basedOn w:val="DefaultParagraphFont"/>
    <w:uiPriority w:val="99"/>
    <w:semiHidden/>
    <w:unhideWhenUsed/>
    <w:rsid w:val="003B4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2022-08-10T18:18:00Z</dcterms:created>
  <dcterms:modified xsi:type="dcterms:W3CDTF">2022-08-11T13:54:00Z</dcterms:modified>
</cp:coreProperties>
</file>