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FF50" w14:textId="77777777" w:rsidR="007342C1" w:rsidRPr="007342C1" w:rsidRDefault="007342C1" w:rsidP="007342C1">
      <w:pPr>
        <w:jc w:val="right"/>
        <w:rPr>
          <w:rtl/>
          <w:lang w:bidi="he-IL"/>
        </w:rPr>
      </w:pPr>
      <w:r w:rsidRPr="007342C1">
        <w:rPr>
          <w:rFonts w:hint="cs"/>
          <w:rtl/>
          <w:lang w:bidi="he-IL"/>
        </w:rPr>
        <w:t>הרב שמואל דוב ווייס</w:t>
      </w:r>
    </w:p>
    <w:p w14:paraId="7B278330" w14:textId="6BA3FDB4" w:rsidR="007342C1" w:rsidRPr="007342C1" w:rsidRDefault="007342C1" w:rsidP="007342C1">
      <w:pPr>
        <w:jc w:val="center"/>
        <w:rPr>
          <w:rFonts w:cs="Arial"/>
          <w:sz w:val="24"/>
          <w:szCs w:val="24"/>
          <w:rtl/>
          <w:lang w:bidi="he-IL"/>
        </w:rPr>
      </w:pPr>
      <w:r>
        <w:rPr>
          <w:rFonts w:cs="Arial" w:hint="cs"/>
          <w:b/>
          <w:bCs/>
          <w:sz w:val="26"/>
          <w:szCs w:val="26"/>
          <w:u w:val="single"/>
          <w:rtl/>
          <w:lang w:bidi="he-IL"/>
        </w:rPr>
        <w:t>עדות מיוחדת</w:t>
      </w:r>
      <w:r w:rsidRPr="007342C1">
        <w:rPr>
          <w:rFonts w:cs="Arial" w:hint="cs"/>
          <w:sz w:val="28"/>
          <w:szCs w:val="28"/>
          <w:rtl/>
          <w:lang w:bidi="he-IL"/>
        </w:rPr>
        <w:t xml:space="preserve"> </w:t>
      </w:r>
      <w:r w:rsidRPr="007342C1">
        <w:rPr>
          <w:rFonts w:cs="Arial" w:hint="cs"/>
          <w:sz w:val="24"/>
          <w:szCs w:val="24"/>
          <w:rtl/>
          <w:lang w:bidi="he-IL"/>
        </w:rPr>
        <w:t>(#</w:t>
      </w:r>
      <w:r>
        <w:rPr>
          <w:rFonts w:cs="Arial" w:hint="cs"/>
          <w:sz w:val="24"/>
          <w:szCs w:val="24"/>
          <w:rtl/>
          <w:lang w:bidi="he-IL"/>
        </w:rPr>
        <w:t>1</w:t>
      </w:r>
      <w:r w:rsidRPr="007342C1">
        <w:rPr>
          <w:rFonts w:cs="Arial" w:hint="cs"/>
          <w:sz w:val="24"/>
          <w:szCs w:val="24"/>
          <w:rtl/>
          <w:lang w:bidi="he-IL"/>
        </w:rPr>
        <w:t>)</w:t>
      </w:r>
    </w:p>
    <w:p w14:paraId="1565AECB" w14:textId="0EFC576D" w:rsidR="00CD4BC6" w:rsidRDefault="00025937" w:rsidP="00C21C3D">
      <w:pPr>
        <w:jc w:val="right"/>
        <w:rPr>
          <w:rtl/>
          <w:lang w:bidi="he-IL"/>
        </w:rPr>
      </w:pPr>
      <w:r>
        <w:rPr>
          <w:rFonts w:hint="cs"/>
          <w:b/>
          <w:bCs/>
          <w:rtl/>
          <w:lang w:bidi="he-IL"/>
        </w:rPr>
        <w:t xml:space="preserve">משנה </w:t>
      </w:r>
      <w:r w:rsidRPr="00025937">
        <w:rPr>
          <w:rFonts w:hint="cs"/>
          <w:rtl/>
          <w:lang w:bidi="he-IL"/>
        </w:rPr>
        <w:t>ו:</w:t>
      </w:r>
      <w:r w:rsidR="00CD4BC6">
        <w:rPr>
          <w:rFonts w:hint="cs"/>
          <w:rtl/>
          <w:lang w:bidi="he-IL"/>
        </w:rPr>
        <w:t xml:space="preserve">, </w:t>
      </w:r>
      <w:r w:rsidR="00CD4BC6" w:rsidRPr="00CD4BC6">
        <w:rPr>
          <w:rFonts w:hint="cs"/>
          <w:b/>
          <w:bCs/>
          <w:rtl/>
          <w:lang w:bidi="he-IL"/>
        </w:rPr>
        <w:t>רש"י</w:t>
      </w:r>
      <w:r w:rsidR="00CD4BC6">
        <w:rPr>
          <w:rFonts w:hint="cs"/>
          <w:rtl/>
          <w:lang w:bidi="he-IL"/>
        </w:rPr>
        <w:t xml:space="preserve"> שם</w:t>
      </w:r>
    </w:p>
    <w:p w14:paraId="01B2988A" w14:textId="3C1162F7" w:rsidR="006B2D8F" w:rsidRPr="006B2D8F" w:rsidRDefault="006B2D8F" w:rsidP="00C21C3D">
      <w:pPr>
        <w:jc w:val="right"/>
        <w:rPr>
          <w:rtl/>
          <w:lang w:bidi="he-IL"/>
        </w:rPr>
      </w:pPr>
      <w:r w:rsidRPr="006B2D8F">
        <w:rPr>
          <w:rFonts w:hint="cs"/>
          <w:b/>
          <w:bCs/>
          <w:rtl/>
          <w:lang w:bidi="he-IL"/>
        </w:rPr>
        <w:t>תוספות</w:t>
      </w:r>
      <w:r>
        <w:rPr>
          <w:rFonts w:hint="cs"/>
          <w:rtl/>
          <w:lang w:bidi="he-IL"/>
        </w:rPr>
        <w:t xml:space="preserve"> שם (ד"ה הרי אלו, לעדות מיוחדת)</w:t>
      </w:r>
    </w:p>
    <w:p w14:paraId="025BA57E" w14:textId="78EF4EA0" w:rsidR="008530F9" w:rsidRDefault="00C21C3D" w:rsidP="00C21C3D">
      <w:pPr>
        <w:jc w:val="right"/>
        <w:rPr>
          <w:rtl/>
          <w:lang w:bidi="he-IL"/>
        </w:rPr>
      </w:pPr>
      <w:r w:rsidRPr="00C21C3D">
        <w:rPr>
          <w:rFonts w:hint="cs"/>
          <w:b/>
          <w:bCs/>
          <w:rtl/>
          <w:lang w:bidi="he-IL"/>
        </w:rPr>
        <w:t>גמ'</w:t>
      </w:r>
      <w:r>
        <w:rPr>
          <w:rFonts w:hint="cs"/>
          <w:b/>
          <w:bCs/>
          <w:rtl/>
          <w:lang w:bidi="he-IL"/>
        </w:rPr>
        <w:t xml:space="preserve"> </w:t>
      </w:r>
      <w:r w:rsidR="00025937">
        <w:rPr>
          <w:rFonts w:hint="cs"/>
          <w:rtl/>
          <w:lang w:bidi="he-IL"/>
        </w:rPr>
        <w:t>שם</w:t>
      </w:r>
      <w:r>
        <w:rPr>
          <w:rFonts w:hint="cs"/>
          <w:rtl/>
          <w:lang w:bidi="he-IL"/>
        </w:rPr>
        <w:t xml:space="preserve"> [</w:t>
      </w:r>
      <w:r w:rsidR="00025937">
        <w:rPr>
          <w:rFonts w:hint="cs"/>
          <w:rtl/>
          <w:lang w:bidi="he-IL"/>
        </w:rPr>
        <w:t>"אמר רב זוטרא... לבועל את הערוה", "אמר רב נחמן עדות מיוחדת... קשיא"]</w:t>
      </w:r>
      <w:r w:rsidR="00D46ACC">
        <w:rPr>
          <w:rFonts w:hint="cs"/>
          <w:rtl/>
          <w:lang w:bidi="he-IL"/>
        </w:rPr>
        <w:t xml:space="preserve">, </w:t>
      </w:r>
      <w:r w:rsidR="00D46ACC" w:rsidRPr="00CD4BC6">
        <w:rPr>
          <w:rFonts w:hint="cs"/>
          <w:b/>
          <w:bCs/>
          <w:rtl/>
          <w:lang w:bidi="he-IL"/>
        </w:rPr>
        <w:t>רש"י</w:t>
      </w:r>
      <w:r w:rsidR="00D46ACC">
        <w:rPr>
          <w:rFonts w:hint="cs"/>
          <w:rtl/>
          <w:lang w:bidi="he-IL"/>
        </w:rPr>
        <w:t xml:space="preserve"> שם</w:t>
      </w:r>
    </w:p>
    <w:p w14:paraId="34B06BDE" w14:textId="00826C09" w:rsidR="00EB1E30" w:rsidRDefault="00EB1E30" w:rsidP="00C21C3D">
      <w:pPr>
        <w:jc w:val="right"/>
        <w:rPr>
          <w:rtl/>
          <w:lang w:bidi="he-IL"/>
        </w:rPr>
      </w:pPr>
      <w:r>
        <w:rPr>
          <w:rFonts w:hint="cs"/>
          <w:b/>
          <w:bCs/>
          <w:rtl/>
          <w:lang w:bidi="he-IL"/>
        </w:rPr>
        <w:t>גמ'</w:t>
      </w:r>
      <w:r>
        <w:rPr>
          <w:rFonts w:hint="cs"/>
          <w:rtl/>
          <w:lang w:bidi="he-IL"/>
        </w:rPr>
        <w:t xml:space="preserve"> סנהדרין ל. ["גופא לעולם אין עדותן... מכל מקום"], </w:t>
      </w:r>
      <w:r w:rsidRPr="00EB1E30">
        <w:rPr>
          <w:rFonts w:hint="cs"/>
          <w:b/>
          <w:bCs/>
          <w:rtl/>
          <w:lang w:bidi="he-IL"/>
        </w:rPr>
        <w:t>רש"י</w:t>
      </w:r>
      <w:r>
        <w:rPr>
          <w:rFonts w:hint="cs"/>
          <w:rtl/>
          <w:lang w:bidi="he-IL"/>
        </w:rPr>
        <w:t xml:space="preserve"> שם</w:t>
      </w:r>
    </w:p>
    <w:p w14:paraId="2677448D" w14:textId="5BFF33B6" w:rsidR="00CD4BC6" w:rsidRPr="00542A48" w:rsidRDefault="00542A48" w:rsidP="00C21C3D">
      <w:pPr>
        <w:jc w:val="right"/>
        <w:rPr>
          <w:b/>
          <w:bCs/>
          <w:rtl/>
          <w:lang w:bidi="he-IL"/>
        </w:rPr>
      </w:pPr>
      <w:r w:rsidRPr="00542A48">
        <w:rPr>
          <w:rFonts w:hint="cs"/>
          <w:b/>
          <w:bCs/>
          <w:rtl/>
          <w:lang w:bidi="he-IL"/>
        </w:rPr>
        <w:t>יד רמ"ה</w:t>
      </w:r>
      <w:r>
        <w:rPr>
          <w:rFonts w:hint="cs"/>
          <w:b/>
          <w:bCs/>
          <w:rtl/>
          <w:lang w:bidi="he-IL"/>
        </w:rPr>
        <w:t xml:space="preserve"> </w:t>
      </w:r>
      <w:r w:rsidRPr="00542A48">
        <w:rPr>
          <w:rFonts w:hint="cs"/>
          <w:rtl/>
          <w:lang w:bidi="he-IL"/>
        </w:rPr>
        <w:t>שם</w:t>
      </w:r>
      <w:r>
        <w:rPr>
          <w:rFonts w:hint="cs"/>
          <w:rtl/>
          <w:lang w:bidi="he-IL"/>
        </w:rPr>
        <w:t xml:space="preserve"> (ד"ה גופא)</w:t>
      </w:r>
      <w:r>
        <w:rPr>
          <w:rStyle w:val="FootnoteReference"/>
          <w:rtl/>
          <w:lang w:bidi="he-IL"/>
        </w:rPr>
        <w:footnoteReference w:id="1"/>
      </w:r>
    </w:p>
    <w:p w14:paraId="27C73599" w14:textId="05EB6CD8" w:rsidR="00CD4BC6" w:rsidRDefault="00CD4BC6" w:rsidP="00C21C3D">
      <w:pPr>
        <w:jc w:val="right"/>
        <w:rPr>
          <w:rtl/>
          <w:lang w:bidi="he-IL"/>
        </w:rPr>
      </w:pPr>
      <w:r w:rsidRPr="00CD4BC6">
        <w:rPr>
          <w:rFonts w:hint="cs"/>
          <w:b/>
          <w:bCs/>
          <w:rtl/>
          <w:lang w:bidi="he-IL"/>
        </w:rPr>
        <w:t>גמ'</w:t>
      </w:r>
      <w:r>
        <w:rPr>
          <w:rFonts w:hint="cs"/>
          <w:b/>
          <w:bCs/>
          <w:rtl/>
          <w:lang w:bidi="he-IL"/>
        </w:rPr>
        <w:t xml:space="preserve"> </w:t>
      </w:r>
      <w:r>
        <w:rPr>
          <w:rFonts w:hint="cs"/>
          <w:rtl/>
          <w:lang w:bidi="he-IL"/>
        </w:rPr>
        <w:t>שם ל: ["א"ר חייא בר אבין..."] - לא. [עד "... דמכחשי אהדדי מי אמר"]</w:t>
      </w:r>
      <w:r w:rsidR="00542A48">
        <w:rPr>
          <w:rStyle w:val="FootnoteReference"/>
          <w:rtl/>
          <w:lang w:bidi="he-IL"/>
        </w:rPr>
        <w:footnoteReference w:id="2"/>
      </w:r>
      <w:r>
        <w:rPr>
          <w:rFonts w:hint="cs"/>
          <w:rtl/>
          <w:lang w:bidi="he-IL"/>
        </w:rPr>
        <w:t xml:space="preserve">, </w:t>
      </w:r>
      <w:r w:rsidRPr="00CD4BC6">
        <w:rPr>
          <w:rFonts w:hint="cs"/>
          <w:b/>
          <w:bCs/>
          <w:rtl/>
          <w:lang w:bidi="he-IL"/>
        </w:rPr>
        <w:t>רש"י</w:t>
      </w:r>
      <w:r>
        <w:rPr>
          <w:rFonts w:hint="cs"/>
          <w:rtl/>
          <w:lang w:bidi="he-IL"/>
        </w:rPr>
        <w:t xml:space="preserve"> שם</w:t>
      </w:r>
    </w:p>
    <w:p w14:paraId="231EFDEE" w14:textId="308A1EC0" w:rsidR="00542A48" w:rsidRDefault="00542A48" w:rsidP="00542A48">
      <w:pPr>
        <w:jc w:val="right"/>
        <w:rPr>
          <w:rtl/>
          <w:lang w:bidi="he-IL"/>
        </w:rPr>
      </w:pPr>
      <w:r w:rsidRPr="00542A48">
        <w:rPr>
          <w:rFonts w:hint="cs"/>
          <w:b/>
          <w:bCs/>
          <w:rtl/>
          <w:lang w:bidi="he-IL"/>
        </w:rPr>
        <w:t xml:space="preserve">יד רמ"ה </w:t>
      </w:r>
      <w:r>
        <w:rPr>
          <w:rFonts w:hint="cs"/>
          <w:rtl/>
          <w:lang w:bidi="he-IL"/>
        </w:rPr>
        <w:t>ל:</w:t>
      </w:r>
      <w:r w:rsidRPr="00542A48">
        <w:rPr>
          <w:rFonts w:hint="cs"/>
          <w:rtl/>
          <w:lang w:bidi="he-IL"/>
        </w:rPr>
        <w:t xml:space="preserve"> (ד"ה</w:t>
      </w:r>
      <w:r>
        <w:rPr>
          <w:rFonts w:hint="cs"/>
          <w:rtl/>
          <w:lang w:bidi="he-IL"/>
        </w:rPr>
        <w:t xml:space="preserve"> אמר רב חייא</w:t>
      </w:r>
      <w:r w:rsidR="00FB30FF">
        <w:rPr>
          <w:rFonts w:hint="cs"/>
          <w:rtl/>
          <w:lang w:bidi="he-IL"/>
        </w:rPr>
        <w:t>, ברם)</w:t>
      </w:r>
      <w:r>
        <w:rPr>
          <w:rStyle w:val="FootnoteReference"/>
          <w:rtl/>
          <w:lang w:bidi="he-IL"/>
        </w:rPr>
        <w:footnoteReference w:id="3"/>
      </w:r>
    </w:p>
    <w:p w14:paraId="7B101F78" w14:textId="13FB4B47" w:rsidR="00542A48" w:rsidRPr="003E3C5A" w:rsidRDefault="00FB30FF" w:rsidP="003E3C5A">
      <w:pPr>
        <w:jc w:val="right"/>
        <w:rPr>
          <w:b/>
          <w:bCs/>
          <w:rtl/>
          <w:lang w:bidi="he-IL"/>
        </w:rPr>
      </w:pPr>
      <w:r w:rsidRPr="00FB30FF">
        <w:rPr>
          <w:rFonts w:hint="cs"/>
          <w:b/>
          <w:bCs/>
          <w:rtl/>
          <w:lang w:bidi="he-IL"/>
        </w:rPr>
        <w:t>חידושי הר"ן</w:t>
      </w:r>
      <w:r>
        <w:rPr>
          <w:rFonts w:hint="cs"/>
          <w:b/>
          <w:bCs/>
          <w:rtl/>
          <w:lang w:bidi="he-IL"/>
        </w:rPr>
        <w:t xml:space="preserve"> </w:t>
      </w:r>
      <w:r w:rsidRPr="00FB30FF">
        <w:rPr>
          <w:rFonts w:hint="cs"/>
          <w:rtl/>
          <w:lang w:bidi="he-IL"/>
        </w:rPr>
        <w:t>שם</w:t>
      </w:r>
      <w:r>
        <w:rPr>
          <w:rFonts w:hint="cs"/>
          <w:rtl/>
          <w:lang w:bidi="he-IL"/>
        </w:rPr>
        <w:t xml:space="preserve"> (ד"ה והוי יודע)</w:t>
      </w:r>
      <w:r>
        <w:rPr>
          <w:rStyle w:val="FootnoteReference"/>
          <w:rtl/>
          <w:lang w:bidi="he-IL"/>
        </w:rPr>
        <w:footnoteReference w:id="4"/>
      </w:r>
    </w:p>
    <w:p w14:paraId="33378C84" w14:textId="75167C37" w:rsidR="00542A48" w:rsidRDefault="00542A48" w:rsidP="00C21C3D">
      <w:pPr>
        <w:jc w:val="right"/>
        <w:rPr>
          <w:rtl/>
          <w:lang w:bidi="he-IL"/>
        </w:rPr>
      </w:pPr>
    </w:p>
    <w:p w14:paraId="74D80EF2" w14:textId="77777777" w:rsidR="00542A48" w:rsidRPr="00542A48" w:rsidRDefault="00542A48" w:rsidP="00542A48">
      <w:pPr>
        <w:jc w:val="right"/>
        <w:rPr>
          <w:u w:val="single"/>
        </w:rPr>
      </w:pPr>
      <w:r w:rsidRPr="00542A48">
        <w:rPr>
          <w:rFonts w:cs="Arial"/>
          <w:u w:val="single"/>
          <w:rtl/>
          <w:lang w:bidi="he-IL"/>
        </w:rPr>
        <w:t>יד רמ"ה מסכת סנהדרין דף ל עמוד א</w:t>
      </w:r>
    </w:p>
    <w:p w14:paraId="7AA84921" w14:textId="3725C1B2" w:rsidR="00542A48" w:rsidRDefault="00542A48" w:rsidP="00542A48">
      <w:pPr>
        <w:ind w:left="-180"/>
        <w:jc w:val="right"/>
        <w:rPr>
          <w:rFonts w:cs="Arial"/>
          <w:rtl/>
          <w:lang w:bidi="he-IL"/>
        </w:rPr>
      </w:pPr>
      <w:r>
        <w:rPr>
          <w:rFonts w:cs="Arial"/>
          <w:rtl/>
          <w:lang w:bidi="he-IL"/>
        </w:rPr>
        <w:t>גופא אין עדותן מצטרפת כו' ואמרינן במאי קא מיפלגי תנא קמא ורבי יהושע בן קרחה ומהדרינן איבעית תימא בסברא ואיבעית תימא בדרשא דקרא. איבעית תימא בסברא תנא קמא אזיל בתר מנה וכיון דמסהיד האי דאוזפיה מנה בחד בשבא ואידך קא מסהיד דאוזפיה מנה בתרי בשבא אמנה דקא מסהיד האי לא קא מסהיד האי ואשתכח דליכא תרי סהדי אחד מנה ורבי יהושע בן קרחה אזיל בתר לוה וכיון דמסהדי תרווייהו דהאי גברא מיחייב מנה מ"מ עדותן עדות. ואיבעית תי' בקרא דכתיב גבי שבועת העדות והוא עד דתניא ממשמע שנאמר כו' אלמא האי והוא עד דכתיב גבי שבועת העדות בשנים הכתוב מדבר ואפקיה רחמנא בלשון עד דמשמע חד למימר דעד דחזו תרוייהו כחד לא מיחייב משום שבועת העדות דהא לאו עדות היא ורבי יהושע בן קרחה הא רבי רחמנא או ראה או ידע מכל מקום</w:t>
      </w:r>
      <w:r>
        <w:rPr>
          <w:rFonts w:cs="Arial" w:hint="cs"/>
          <w:rtl/>
          <w:lang w:bidi="he-IL"/>
        </w:rPr>
        <w:t>.</w:t>
      </w:r>
    </w:p>
    <w:p w14:paraId="3ED96FAF" w14:textId="77777777" w:rsidR="00542A48" w:rsidRPr="00542A48" w:rsidRDefault="00542A48" w:rsidP="00542A48">
      <w:pPr>
        <w:ind w:left="-180"/>
        <w:jc w:val="right"/>
        <w:rPr>
          <w:u w:val="single"/>
        </w:rPr>
      </w:pPr>
      <w:r w:rsidRPr="00542A48">
        <w:rPr>
          <w:rFonts w:cs="Arial"/>
          <w:u w:val="single"/>
          <w:rtl/>
          <w:lang w:bidi="he-IL"/>
        </w:rPr>
        <w:t>יד רמ"ה מסכת סנהדרין דף ל עמוד ב</w:t>
      </w:r>
    </w:p>
    <w:p w14:paraId="3E84A334" w14:textId="06AEA48F" w:rsidR="00542A48" w:rsidRDefault="00542A48" w:rsidP="00542A48">
      <w:pPr>
        <w:ind w:left="-180"/>
        <w:jc w:val="right"/>
        <w:rPr>
          <w:rtl/>
          <w:lang w:bidi="he-IL"/>
        </w:rPr>
      </w:pPr>
      <w:r>
        <w:rPr>
          <w:rFonts w:cs="Arial"/>
          <w:rtl/>
          <w:lang w:bidi="he-IL"/>
        </w:rPr>
        <w:t xml:space="preserve">אמר רב חייא כו' הלכה כרבי יהושע בן קרחה בקרקעות זה מעיד שמכר לו קרקע זו בפניו באחד בשבת וזה מעיד שמכרה לו בפניו בשני בשבת אי נמי בהודאה וכן במטלטלין זה מעיד בפני הלוהו מנה וזה אומר בפני הלוהו מנה אף על גב דמנה דקא מסהיד האי לא קמסהיד האי דמכל מקום תרווייהו קא מסהדי דמחייב מנה בעלמא. ועולא אמר הלכה כר' יהושע בן קרחה בקרקעות דאע"ג דלא חזו תרווייהו כחד כיון דתרווייהו אחד קרקע קא מסהדי עדותן קיימת אבל לא במטלטלין דמנה דקא מסהיד האי לא קא מסהיד האי. ומקשינן עליה דעולא דאמר הלכה כמותו בקרקעות והאמר רבי אבא כו' מודים חכמים לרבי יהושע ב"ק בעדות קרקעות ותאני רב אידי בר אבין במשנה החיצונה של נזיקין שהיו שונין אותה של בית קרנא והן תלמידיו מודים חכמים לרבי יהושע בן קרחה בעדות בכור </w:t>
      </w:r>
      <w:r w:rsidR="003735FF">
        <w:rPr>
          <w:rFonts w:cs="Arial" w:hint="cs"/>
          <w:rtl/>
          <w:lang w:bidi="he-IL"/>
        </w:rPr>
        <w:t>...</w:t>
      </w:r>
      <w:r>
        <w:rPr>
          <w:rFonts w:cs="Arial"/>
          <w:rtl/>
          <w:lang w:bidi="he-IL"/>
        </w:rPr>
        <w:t xml:space="preserve"> ובעידי חזקה אחד מעיד שאכלה ראשונה שניה ושלישית ואחד מעיד שאכלה רביעית חמישית וששית והיינו עדות קרקע וכן לענין שתי שערות שבבן ושבבת כדמפרש לקמן</w:t>
      </w:r>
      <w:r w:rsidR="003735FF">
        <w:rPr>
          <w:rFonts w:cs="Arial" w:hint="cs"/>
          <w:rtl/>
          <w:lang w:bidi="he-IL"/>
        </w:rPr>
        <w:t>,</w:t>
      </w:r>
      <w:r>
        <w:rPr>
          <w:rFonts w:cs="Arial"/>
          <w:rtl/>
          <w:lang w:bidi="he-IL"/>
        </w:rPr>
        <w:t xml:space="preserve"> וטעמא דכולהו דאע"ג דלא חזו תרווייהו כחד כיון דתרווייהו אחד גופא קא מסהדי עדותן קיימת דאכתי והוא עד קרינא בהו אלמא לא פליגי בקרקע. ומתמהי' אקושיין גברא אגברא קא רמית רב וקרנא סברי לא פליגי בקרקע ועולא סבר פליגי</w:t>
      </w:r>
      <w:r w:rsidR="003735FF">
        <w:rPr>
          <w:rFonts w:hint="cs"/>
          <w:rtl/>
          <w:lang w:bidi="he-IL"/>
        </w:rPr>
        <w:t>:</w:t>
      </w:r>
    </w:p>
    <w:p w14:paraId="74EBACCE" w14:textId="2950F95A" w:rsidR="00FB30FF" w:rsidRDefault="00FB30FF" w:rsidP="00FB30FF">
      <w:pPr>
        <w:ind w:left="-270"/>
        <w:jc w:val="right"/>
        <w:rPr>
          <w:rFonts w:cs="Arial"/>
          <w:lang w:bidi="he-IL"/>
        </w:rPr>
      </w:pPr>
      <w:r>
        <w:rPr>
          <w:rFonts w:cs="Arial"/>
          <w:rtl/>
          <w:lang w:bidi="he-IL"/>
        </w:rPr>
        <w:t xml:space="preserve">ברם צריך את למידע דהאי הלואה אחר הלואה דקאמרינן דמצטרפי אליבא דר' יהושע בן קרחה דוקא היכא דלא מכחיש ליה מלוה לחד מינייהו אלא קא תבע מיניה דלוה שני מנין שהלוהו אחד באחד בשבת והשני בשני בשבת </w:t>
      </w:r>
      <w:r>
        <w:rPr>
          <w:rFonts w:cs="Arial"/>
          <w:rtl/>
          <w:lang w:bidi="he-IL"/>
        </w:rPr>
        <w:lastRenderedPageBreak/>
        <w:t>והביא שני עדים אחד על הראשון ואחד על השני דאע"ג דמנה דקא מסהיד האי לא קא מסהיד האי מצרפי לחיוביה ללוה בחד מנה וכל שכן ביורש דמצטרפי אבל היכא דמלוה קא מודה ליה ללוה דלית ליה גביה אלא חד מנה ואתו תרי סהדי חד מסהיד דאית ליה גביה חד מנה ואידך אסהיד דאית ליה גביה מנה אחרינא חזינן אי איכא למימר דמטעא טעי חד מינייהו בזימנא דהלואה כגון אחד אומר בשנים בחודש ואחד אומר בשלשה דאיכא למימר דתרוייהו אחד יומא קא מסהדי מצטרפי דאימור תרוייהו אחד מנה קא מסהדי ואי ברירא מילתא דאתרי מנין קא מסהדי הא ודאי חד מינייהו בשקרא מסהיד דהא מלוה מודי דלית ליה אלא חד מנה הילכך משתבע לוה שבועה דאורייתא ומיפטר</w:t>
      </w:r>
      <w:r>
        <w:rPr>
          <w:rFonts w:cs="Arial" w:hint="cs"/>
          <w:rtl/>
          <w:lang w:bidi="he-IL"/>
        </w:rPr>
        <w:t>:</w:t>
      </w:r>
    </w:p>
    <w:p w14:paraId="731C0DC6" w14:textId="77777777" w:rsidR="00FB30FF" w:rsidRPr="00FB30FF" w:rsidRDefault="00FB30FF" w:rsidP="00FB30FF">
      <w:pPr>
        <w:ind w:left="-270"/>
        <w:jc w:val="right"/>
        <w:rPr>
          <w:u w:val="single"/>
        </w:rPr>
      </w:pPr>
      <w:r w:rsidRPr="00FB30FF">
        <w:rPr>
          <w:rFonts w:cs="Arial"/>
          <w:u w:val="single"/>
          <w:rtl/>
          <w:lang w:bidi="he-IL"/>
        </w:rPr>
        <w:t>חידושי הר"ן מסכת סנהדרין דף ל עמוד ב</w:t>
      </w:r>
    </w:p>
    <w:p w14:paraId="227AC05F" w14:textId="648F9DB5" w:rsidR="00FB30FF" w:rsidRDefault="00FB30FF" w:rsidP="00FB30FF">
      <w:pPr>
        <w:ind w:left="-270"/>
        <w:jc w:val="right"/>
        <w:rPr>
          <w:rFonts w:hint="cs"/>
          <w:rtl/>
          <w:lang w:bidi="he-IL"/>
        </w:rPr>
      </w:pPr>
      <w:r>
        <w:rPr>
          <w:rFonts w:cs="Arial"/>
          <w:rtl/>
          <w:lang w:bidi="he-IL"/>
        </w:rPr>
        <w:t>והוי יודע דכי אמרינן במכחישין שמצרפין עדותן דוקא כשבעל הבית טוען כשיעור שני העדים אבל כשטוען כשיעור העד האחד אין מצטרפין /מצרפין/ את עדותן שהרי ביטל הבעל דין את דברי האחד וזה שכשטען הבעל דין שהוא חייב לו מנה הרי הוא כמי שהודה שאין חייב לו יותר והודאת בעל דין עדיף יותר ממאה עדים ואף על גב דאמרינן לקמן בשני עדים המכחישין זה את זה זה אומר מנה וזה אומר מאתים דיש בכלל מאתים מנה דוקא בעדים הוא דאמרינן הכי אבל בבעל דין חזקה שהוא תובע כל מה שיש לו והרי הוא כמודה שאין עליו יותר והוא יכול לבטל העדות שהוא לזכותו מה שאין כן בעד האחר שאינו יכול לבטל העדות שהוא לזכותו של תובע</w:t>
      </w:r>
      <w:r>
        <w:rPr>
          <w:rFonts w:cs="Arial" w:hint="cs"/>
          <w:rtl/>
          <w:lang w:bidi="he-IL"/>
        </w:rPr>
        <w:t>.</w:t>
      </w:r>
    </w:p>
    <w:p w14:paraId="21AD970E" w14:textId="77777777" w:rsidR="00CD4BC6" w:rsidRPr="00CD4BC6" w:rsidRDefault="00CD4BC6" w:rsidP="00C21C3D">
      <w:pPr>
        <w:jc w:val="right"/>
        <w:rPr>
          <w:rFonts w:hint="cs"/>
          <w:b/>
          <w:bCs/>
          <w:rtl/>
          <w:lang w:bidi="he-IL"/>
        </w:rPr>
      </w:pPr>
    </w:p>
    <w:sectPr w:rsidR="00CD4BC6" w:rsidRPr="00CD4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0928" w14:textId="77777777" w:rsidR="003B63F3" w:rsidRDefault="003B63F3" w:rsidP="007342C1">
      <w:pPr>
        <w:spacing w:after="0" w:line="240" w:lineRule="auto"/>
      </w:pPr>
      <w:r>
        <w:separator/>
      </w:r>
    </w:p>
  </w:endnote>
  <w:endnote w:type="continuationSeparator" w:id="0">
    <w:p w14:paraId="2BCAF573" w14:textId="77777777" w:rsidR="003B63F3" w:rsidRDefault="003B63F3" w:rsidP="0073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6277" w14:textId="77777777" w:rsidR="003B63F3" w:rsidRDefault="003B63F3" w:rsidP="007342C1">
      <w:pPr>
        <w:spacing w:after="0" w:line="240" w:lineRule="auto"/>
      </w:pPr>
      <w:r>
        <w:separator/>
      </w:r>
    </w:p>
  </w:footnote>
  <w:footnote w:type="continuationSeparator" w:id="0">
    <w:p w14:paraId="604FE914" w14:textId="77777777" w:rsidR="003B63F3" w:rsidRDefault="003B63F3" w:rsidP="007342C1">
      <w:pPr>
        <w:spacing w:after="0" w:line="240" w:lineRule="auto"/>
      </w:pPr>
      <w:r>
        <w:continuationSeparator/>
      </w:r>
    </w:p>
  </w:footnote>
  <w:footnote w:id="1">
    <w:p w14:paraId="686FA801" w14:textId="4B628D7C" w:rsidR="00542A48" w:rsidRPr="00542A48" w:rsidRDefault="00542A48">
      <w:pPr>
        <w:pStyle w:val="FootnoteText"/>
        <w:rPr>
          <w:sz w:val="16"/>
          <w:szCs w:val="16"/>
          <w:lang w:bidi="he-IL"/>
        </w:rPr>
      </w:pPr>
      <w:r w:rsidRPr="00542A48">
        <w:rPr>
          <w:rStyle w:val="FootnoteReference"/>
          <w:sz w:val="16"/>
          <w:szCs w:val="16"/>
        </w:rPr>
        <w:footnoteRef/>
      </w:r>
      <w:r w:rsidRPr="00542A48">
        <w:rPr>
          <w:sz w:val="16"/>
          <w:szCs w:val="16"/>
        </w:rPr>
        <w:t xml:space="preserve"> </w:t>
      </w:r>
      <w:r w:rsidRPr="00542A48">
        <w:rPr>
          <w:sz w:val="16"/>
          <w:szCs w:val="16"/>
          <w:lang w:bidi="he-IL"/>
        </w:rPr>
        <w:t xml:space="preserve">See below </w:t>
      </w:r>
    </w:p>
  </w:footnote>
  <w:footnote w:id="2">
    <w:p w14:paraId="33BB5CB5" w14:textId="69736DE5" w:rsidR="00542A48" w:rsidRPr="00542A48" w:rsidRDefault="00542A48">
      <w:pPr>
        <w:pStyle w:val="FootnoteText"/>
        <w:rPr>
          <w:sz w:val="16"/>
          <w:szCs w:val="16"/>
          <w:lang w:bidi="he-IL"/>
        </w:rPr>
      </w:pPr>
      <w:r w:rsidRPr="00542A48">
        <w:rPr>
          <w:rStyle w:val="FootnoteReference"/>
          <w:sz w:val="16"/>
          <w:szCs w:val="16"/>
        </w:rPr>
        <w:footnoteRef/>
      </w:r>
      <w:r w:rsidRPr="00542A48">
        <w:rPr>
          <w:sz w:val="16"/>
          <w:szCs w:val="16"/>
        </w:rPr>
        <w:t xml:space="preserve"> When </w:t>
      </w:r>
      <w:r>
        <w:rPr>
          <w:sz w:val="16"/>
          <w:szCs w:val="16"/>
        </w:rPr>
        <w:t xml:space="preserve">learning this Gemara which cites many different shitos, think about what each </w:t>
      </w:r>
      <w:r w:rsidR="003735FF">
        <w:rPr>
          <w:sz w:val="16"/>
          <w:szCs w:val="16"/>
        </w:rPr>
        <w:t xml:space="preserve">shita thinks about the issue of what is </w:t>
      </w:r>
      <w:r w:rsidR="003735FF">
        <w:rPr>
          <w:rFonts w:hint="cs"/>
          <w:sz w:val="16"/>
          <w:szCs w:val="16"/>
          <w:rtl/>
          <w:lang w:bidi="he-IL"/>
        </w:rPr>
        <w:t>קובע</w:t>
      </w:r>
      <w:r w:rsidR="003735FF">
        <w:rPr>
          <w:sz w:val="16"/>
          <w:szCs w:val="16"/>
          <w:lang w:bidi="he-IL"/>
        </w:rPr>
        <w:t xml:space="preserve"> for </w:t>
      </w:r>
      <w:r w:rsidR="003735FF">
        <w:rPr>
          <w:rFonts w:hint="cs"/>
          <w:sz w:val="16"/>
          <w:szCs w:val="16"/>
          <w:rtl/>
          <w:lang w:bidi="he-IL"/>
        </w:rPr>
        <w:t>עדות בדיני ממונות</w:t>
      </w:r>
      <w:r w:rsidR="003735FF">
        <w:rPr>
          <w:sz w:val="16"/>
          <w:szCs w:val="16"/>
          <w:lang w:bidi="he-IL"/>
        </w:rPr>
        <w:t xml:space="preserve">: the </w:t>
      </w:r>
      <w:r w:rsidR="003735FF">
        <w:rPr>
          <w:rFonts w:hint="cs"/>
          <w:sz w:val="16"/>
          <w:szCs w:val="16"/>
          <w:rtl/>
          <w:lang w:bidi="he-IL"/>
        </w:rPr>
        <w:t>מעשה</w:t>
      </w:r>
      <w:r w:rsidR="003735FF">
        <w:rPr>
          <w:sz w:val="16"/>
          <w:szCs w:val="16"/>
          <w:lang w:bidi="he-IL"/>
        </w:rPr>
        <w:t xml:space="preserve"> or the </w:t>
      </w:r>
      <w:r w:rsidR="003735FF">
        <w:rPr>
          <w:rFonts w:hint="cs"/>
          <w:sz w:val="16"/>
          <w:szCs w:val="16"/>
          <w:rtl/>
          <w:lang w:bidi="he-IL"/>
        </w:rPr>
        <w:t>חיוב</w:t>
      </w:r>
      <w:r w:rsidR="00C5696C">
        <w:rPr>
          <w:sz w:val="16"/>
          <w:szCs w:val="16"/>
          <w:lang w:bidi="he-IL"/>
        </w:rPr>
        <w:t xml:space="preserve">.  Pay careful attention to Rashi’s explanations of each shita. </w:t>
      </w:r>
    </w:p>
  </w:footnote>
  <w:footnote w:id="3">
    <w:p w14:paraId="570D886B" w14:textId="270BACA8" w:rsidR="00542A48" w:rsidRPr="00542A48" w:rsidRDefault="00542A48">
      <w:pPr>
        <w:pStyle w:val="FootnoteText"/>
        <w:rPr>
          <w:sz w:val="16"/>
          <w:szCs w:val="16"/>
          <w:lang w:bidi="he-IL"/>
        </w:rPr>
      </w:pPr>
      <w:r w:rsidRPr="00542A48">
        <w:rPr>
          <w:rStyle w:val="FootnoteReference"/>
          <w:sz w:val="16"/>
          <w:szCs w:val="16"/>
        </w:rPr>
        <w:footnoteRef/>
      </w:r>
      <w:r w:rsidRPr="00542A48">
        <w:rPr>
          <w:sz w:val="16"/>
          <w:szCs w:val="16"/>
        </w:rPr>
        <w:t xml:space="preserve"> </w:t>
      </w:r>
      <w:r w:rsidRPr="00542A48">
        <w:rPr>
          <w:sz w:val="16"/>
          <w:szCs w:val="16"/>
          <w:lang w:bidi="he-IL"/>
        </w:rPr>
        <w:t xml:space="preserve">See below </w:t>
      </w:r>
    </w:p>
  </w:footnote>
  <w:footnote w:id="4">
    <w:p w14:paraId="4838412C" w14:textId="22FB9A08" w:rsidR="00FB30FF" w:rsidRPr="00FB30FF" w:rsidRDefault="00FB30FF">
      <w:pPr>
        <w:pStyle w:val="FootnoteText"/>
        <w:rPr>
          <w:sz w:val="16"/>
          <w:szCs w:val="16"/>
          <w:lang w:bidi="he-IL"/>
        </w:rPr>
      </w:pPr>
      <w:r w:rsidRPr="00FB30FF">
        <w:rPr>
          <w:rStyle w:val="FootnoteReference"/>
          <w:sz w:val="16"/>
          <w:szCs w:val="16"/>
        </w:rPr>
        <w:footnoteRef/>
      </w:r>
      <w:r w:rsidRPr="00FB30FF">
        <w:rPr>
          <w:sz w:val="16"/>
          <w:szCs w:val="16"/>
        </w:rPr>
        <w:t xml:space="preserve"> </w:t>
      </w:r>
      <w:r w:rsidRPr="00FB30FF">
        <w:rPr>
          <w:sz w:val="16"/>
          <w:szCs w:val="16"/>
          <w:lang w:bidi="he-IL"/>
        </w:rPr>
        <w:t xml:space="preserve">See below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C1"/>
    <w:rsid w:val="00025937"/>
    <w:rsid w:val="00267FE3"/>
    <w:rsid w:val="003735FF"/>
    <w:rsid w:val="003B63F3"/>
    <w:rsid w:val="003E3C5A"/>
    <w:rsid w:val="00542A48"/>
    <w:rsid w:val="006B2D8F"/>
    <w:rsid w:val="007342C1"/>
    <w:rsid w:val="008A1AE2"/>
    <w:rsid w:val="00A46F84"/>
    <w:rsid w:val="00C21C3D"/>
    <w:rsid w:val="00C5696C"/>
    <w:rsid w:val="00CD4BC6"/>
    <w:rsid w:val="00D46ACC"/>
    <w:rsid w:val="00EB1E30"/>
    <w:rsid w:val="00FB30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69DD"/>
  <w15:chartTrackingRefBased/>
  <w15:docId w15:val="{7FB5CC58-9ACD-4686-AB4D-4937AB13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42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2C1"/>
    <w:rPr>
      <w:sz w:val="20"/>
      <w:szCs w:val="20"/>
    </w:rPr>
  </w:style>
  <w:style w:type="character" w:styleId="FootnoteReference">
    <w:name w:val="footnote reference"/>
    <w:basedOn w:val="DefaultParagraphFont"/>
    <w:uiPriority w:val="99"/>
    <w:semiHidden/>
    <w:unhideWhenUsed/>
    <w:rsid w:val="00734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5</cp:revision>
  <cp:lastPrinted>2022-08-02T21:26:00Z</cp:lastPrinted>
  <dcterms:created xsi:type="dcterms:W3CDTF">2022-08-02T19:11:00Z</dcterms:created>
  <dcterms:modified xsi:type="dcterms:W3CDTF">2022-08-03T13:51:00Z</dcterms:modified>
</cp:coreProperties>
</file>