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FC79" w14:textId="77777777" w:rsidR="00897912" w:rsidRPr="00897912" w:rsidRDefault="00897912" w:rsidP="00897912">
      <w:pPr>
        <w:jc w:val="right"/>
        <w:rPr>
          <w:rtl/>
          <w:lang w:bidi="he-IL"/>
        </w:rPr>
      </w:pPr>
      <w:r w:rsidRPr="00897912">
        <w:rPr>
          <w:rFonts w:hint="cs"/>
          <w:rtl/>
          <w:lang w:bidi="he-IL"/>
        </w:rPr>
        <w:t>הרב שמואל דוב ווייס</w:t>
      </w:r>
    </w:p>
    <w:p w14:paraId="1CA184CD" w14:textId="3594727F" w:rsidR="00897912" w:rsidRPr="00897912" w:rsidRDefault="00897912" w:rsidP="00897912">
      <w:pPr>
        <w:jc w:val="center"/>
        <w:rPr>
          <w:rFonts w:cs="Arial"/>
          <w:sz w:val="24"/>
          <w:szCs w:val="24"/>
          <w:rtl/>
          <w:lang w:bidi="he-IL"/>
        </w:rPr>
      </w:pPr>
      <w:r w:rsidRPr="00897912">
        <w:rPr>
          <w:rFonts w:cs="Arial" w:hint="cs"/>
          <w:b/>
          <w:bCs/>
          <w:sz w:val="26"/>
          <w:szCs w:val="26"/>
          <w:u w:val="single"/>
          <w:rtl/>
          <w:lang w:bidi="he-IL"/>
        </w:rPr>
        <w:t>נמצא א' מהן קרוב ופסול</w:t>
      </w:r>
      <w:r w:rsidRPr="00897912">
        <w:rPr>
          <w:rFonts w:cs="Arial" w:hint="cs"/>
          <w:sz w:val="28"/>
          <w:szCs w:val="28"/>
          <w:rtl/>
          <w:lang w:bidi="he-IL"/>
        </w:rPr>
        <w:t xml:space="preserve"> </w:t>
      </w:r>
      <w:r w:rsidRPr="00897912">
        <w:rPr>
          <w:rFonts w:cs="Arial" w:hint="cs"/>
          <w:sz w:val="24"/>
          <w:szCs w:val="24"/>
          <w:rtl/>
          <w:lang w:bidi="he-IL"/>
        </w:rPr>
        <w:t>(#</w:t>
      </w:r>
      <w:r>
        <w:rPr>
          <w:rFonts w:cs="Arial" w:hint="cs"/>
          <w:sz w:val="24"/>
          <w:szCs w:val="24"/>
          <w:rtl/>
          <w:lang w:bidi="he-IL"/>
        </w:rPr>
        <w:t>6</w:t>
      </w:r>
      <w:r w:rsidRPr="00897912">
        <w:rPr>
          <w:rFonts w:cs="Arial" w:hint="cs"/>
          <w:sz w:val="24"/>
          <w:szCs w:val="24"/>
          <w:rtl/>
          <w:lang w:bidi="he-IL"/>
        </w:rPr>
        <w:t>)</w:t>
      </w:r>
    </w:p>
    <w:p w14:paraId="7B7073F3" w14:textId="77777777" w:rsidR="00897912" w:rsidRPr="00897912" w:rsidRDefault="00897912" w:rsidP="00897912">
      <w:pPr>
        <w:jc w:val="right"/>
        <w:rPr>
          <w:u w:val="single"/>
          <w:rtl/>
          <w:lang w:bidi="he-IL"/>
        </w:rPr>
      </w:pPr>
      <w:r w:rsidRPr="00897912">
        <w:rPr>
          <w:rFonts w:hint="cs"/>
          <w:u w:val="single"/>
          <w:rtl/>
          <w:lang w:bidi="he-IL"/>
        </w:rPr>
        <w:t>צירוף העדים לכת עדות</w:t>
      </w:r>
    </w:p>
    <w:p w14:paraId="241D3C6C" w14:textId="77777777" w:rsidR="00897912" w:rsidRPr="00897912" w:rsidRDefault="00897912" w:rsidP="00897912">
      <w:pPr>
        <w:jc w:val="right"/>
        <w:rPr>
          <w:rtl/>
          <w:lang w:bidi="he-IL"/>
        </w:rPr>
      </w:pPr>
      <w:r w:rsidRPr="00897912">
        <w:rPr>
          <w:rFonts w:hint="cs"/>
          <w:b/>
          <w:bCs/>
          <w:rtl/>
          <w:lang w:bidi="he-IL"/>
        </w:rPr>
        <w:t>גמ'</w:t>
      </w:r>
      <w:r w:rsidRPr="00897912">
        <w:rPr>
          <w:rFonts w:hint="cs"/>
          <w:rtl/>
          <w:lang w:bidi="he-IL"/>
        </w:rPr>
        <w:t xml:space="preserve"> ו. ["אמר רבא... של חבירו"], </w:t>
      </w:r>
      <w:r w:rsidRPr="00897912">
        <w:rPr>
          <w:rFonts w:hint="cs"/>
          <w:b/>
          <w:bCs/>
          <w:rtl/>
          <w:lang w:bidi="he-IL"/>
        </w:rPr>
        <w:t xml:space="preserve">רש"י </w:t>
      </w:r>
      <w:r w:rsidRPr="00897912">
        <w:rPr>
          <w:rFonts w:hint="cs"/>
          <w:rtl/>
          <w:lang w:bidi="he-IL"/>
        </w:rPr>
        <w:t>שם</w:t>
      </w:r>
    </w:p>
    <w:p w14:paraId="10A3BA8D" w14:textId="29C899CC" w:rsidR="00897912" w:rsidRDefault="00897912" w:rsidP="00897912">
      <w:pPr>
        <w:jc w:val="right"/>
        <w:rPr>
          <w:rtl/>
          <w:lang w:bidi="he-IL"/>
        </w:rPr>
      </w:pPr>
      <w:r w:rsidRPr="00897912">
        <w:rPr>
          <w:rFonts w:hint="cs"/>
          <w:b/>
          <w:bCs/>
          <w:rtl/>
          <w:lang w:bidi="he-IL"/>
        </w:rPr>
        <w:t>תוספות</w:t>
      </w:r>
      <w:r w:rsidRPr="00897912">
        <w:rPr>
          <w:rFonts w:hint="cs"/>
          <w:rtl/>
          <w:lang w:bidi="he-IL"/>
        </w:rPr>
        <w:t xml:space="preserve"> שם (ד"ה אמר רבא</w:t>
      </w:r>
      <w:r w:rsidR="001420C4">
        <w:rPr>
          <w:rFonts w:hint="cs"/>
          <w:rtl/>
          <w:lang w:bidi="he-IL"/>
        </w:rPr>
        <w:t>, שמואל א</w:t>
      </w:r>
      <w:r w:rsidR="001F3BDC">
        <w:rPr>
          <w:rFonts w:hint="cs"/>
          <w:rtl/>
          <w:lang w:bidi="he-IL"/>
        </w:rPr>
        <w:t>ו</w:t>
      </w:r>
      <w:r w:rsidR="001420C4">
        <w:rPr>
          <w:rFonts w:hint="cs"/>
          <w:rtl/>
          <w:lang w:bidi="he-IL"/>
        </w:rPr>
        <w:t>מר</w:t>
      </w:r>
      <w:r w:rsidRPr="00897912">
        <w:rPr>
          <w:rFonts w:hint="cs"/>
          <w:rtl/>
          <w:lang w:bidi="he-IL"/>
        </w:rPr>
        <w:t>)</w:t>
      </w:r>
    </w:p>
    <w:p w14:paraId="606E83AB" w14:textId="60FB9845" w:rsidR="0049106B" w:rsidRDefault="0049106B" w:rsidP="0049106B">
      <w:pPr>
        <w:jc w:val="right"/>
        <w:rPr>
          <w:rtl/>
          <w:lang w:bidi="he-IL"/>
        </w:rPr>
      </w:pPr>
      <w:r w:rsidRPr="0049106B">
        <w:rPr>
          <w:rFonts w:hint="cs"/>
          <w:b/>
          <w:bCs/>
          <w:rtl/>
          <w:lang w:bidi="he-IL"/>
        </w:rPr>
        <w:t xml:space="preserve">רמב"ם </w:t>
      </w:r>
      <w:r w:rsidRPr="0049106B">
        <w:rPr>
          <w:rFonts w:hint="cs"/>
          <w:rtl/>
          <w:lang w:bidi="he-IL"/>
        </w:rPr>
        <w:t xml:space="preserve">הל' עדות (כ:ג), </w:t>
      </w:r>
      <w:r w:rsidRPr="0049106B">
        <w:rPr>
          <w:rFonts w:hint="cs"/>
          <w:b/>
          <w:bCs/>
          <w:rtl/>
          <w:lang w:bidi="he-IL"/>
        </w:rPr>
        <w:t>ראב"ד</w:t>
      </w:r>
      <w:r w:rsidRPr="0049106B">
        <w:rPr>
          <w:rFonts w:hint="cs"/>
          <w:rtl/>
          <w:lang w:bidi="he-IL"/>
        </w:rPr>
        <w:t xml:space="preserve"> שם</w:t>
      </w:r>
    </w:p>
    <w:p w14:paraId="2F0D7EDC" w14:textId="04D7B20A" w:rsidR="008B70A6" w:rsidRPr="008B70A6" w:rsidRDefault="008B70A6" w:rsidP="0049106B">
      <w:pPr>
        <w:jc w:val="right"/>
        <w:rPr>
          <w:b/>
          <w:bCs/>
          <w:rtl/>
          <w:lang w:bidi="he-IL"/>
        </w:rPr>
      </w:pPr>
      <w:r w:rsidRPr="008B70A6">
        <w:rPr>
          <w:rFonts w:hint="cs"/>
          <w:b/>
          <w:bCs/>
          <w:rtl/>
          <w:lang w:bidi="he-IL"/>
        </w:rPr>
        <w:t>רי"ף</w:t>
      </w:r>
      <w:r>
        <w:rPr>
          <w:rFonts w:hint="cs"/>
          <w:b/>
          <w:bCs/>
          <w:rtl/>
          <w:lang w:bidi="he-IL"/>
        </w:rPr>
        <w:t xml:space="preserve"> </w:t>
      </w:r>
      <w:r w:rsidRPr="008B70A6">
        <w:rPr>
          <w:rFonts w:hint="cs"/>
          <w:rtl/>
          <w:lang w:bidi="he-IL"/>
        </w:rPr>
        <w:t>ב.</w:t>
      </w:r>
      <w:r>
        <w:rPr>
          <w:rFonts w:hint="cs"/>
          <w:rtl/>
          <w:lang w:bidi="he-IL"/>
        </w:rPr>
        <w:t xml:space="preserve"> (בדפיו) ["על פי שנים עדים..."] - ב: [עד "...</w:t>
      </w:r>
      <w:r w:rsidR="00E97D09">
        <w:rPr>
          <w:rFonts w:hint="cs"/>
          <w:rtl/>
          <w:lang w:bidi="he-IL"/>
        </w:rPr>
        <w:t xml:space="preserve"> כדאיתא בכתובות"]</w:t>
      </w:r>
    </w:p>
    <w:p w14:paraId="07F66E89" w14:textId="77FE7DB6" w:rsidR="0049106B" w:rsidRDefault="0049106B" w:rsidP="0049106B">
      <w:pPr>
        <w:jc w:val="right"/>
        <w:rPr>
          <w:b/>
          <w:bCs/>
          <w:rtl/>
          <w:lang w:bidi="he-IL"/>
        </w:rPr>
      </w:pPr>
      <w:r w:rsidRPr="001420C4">
        <w:rPr>
          <w:rFonts w:hint="cs"/>
          <w:b/>
          <w:bCs/>
          <w:rtl/>
          <w:lang w:bidi="he-IL"/>
        </w:rPr>
        <w:t>נימוקי יוסף</w:t>
      </w:r>
      <w:r w:rsidR="001420C4">
        <w:rPr>
          <w:rFonts w:hint="cs"/>
          <w:b/>
          <w:bCs/>
          <w:rtl/>
          <w:lang w:bidi="he-IL"/>
        </w:rPr>
        <w:t xml:space="preserve"> </w:t>
      </w:r>
      <w:r w:rsidR="001420C4" w:rsidRPr="001420C4">
        <w:rPr>
          <w:rFonts w:hint="cs"/>
          <w:rtl/>
          <w:lang w:bidi="he-IL"/>
        </w:rPr>
        <w:t>ב:</w:t>
      </w:r>
      <w:r w:rsidR="001420C4">
        <w:rPr>
          <w:rFonts w:hint="cs"/>
          <w:rtl/>
          <w:lang w:bidi="he-IL"/>
        </w:rPr>
        <w:t xml:space="preserve"> (בדפי הרי"ף) [ד"ה למחזי אתיתו] (עד "... בשעת הבאה הוא")</w:t>
      </w:r>
    </w:p>
    <w:p w14:paraId="642BB15E" w14:textId="1313EE8D" w:rsidR="00E97D09" w:rsidRPr="00E97D09" w:rsidRDefault="00E97D09" w:rsidP="0049106B">
      <w:pPr>
        <w:jc w:val="right"/>
        <w:rPr>
          <w:rtl/>
          <w:lang w:bidi="he-IL"/>
        </w:rPr>
      </w:pPr>
      <w:r>
        <w:rPr>
          <w:rFonts w:hint="cs"/>
          <w:b/>
          <w:bCs/>
          <w:rtl/>
          <w:lang w:bidi="he-IL"/>
        </w:rPr>
        <w:t>רא"ש</w:t>
      </w:r>
      <w:r>
        <w:rPr>
          <w:rFonts w:hint="cs"/>
          <w:rtl/>
          <w:lang w:bidi="he-IL"/>
        </w:rPr>
        <w:t xml:space="preserve"> סי' י"א [עד "... שהרג את הנפש"]</w:t>
      </w:r>
    </w:p>
    <w:p w14:paraId="4435D713" w14:textId="427277E5" w:rsidR="0049106B" w:rsidRDefault="0049106B" w:rsidP="001F3BDC">
      <w:pPr>
        <w:jc w:val="right"/>
        <w:rPr>
          <w:rtl/>
          <w:lang w:bidi="he-IL"/>
        </w:rPr>
      </w:pPr>
      <w:r w:rsidRPr="00437C32">
        <w:rPr>
          <w:rFonts w:hint="cs"/>
          <w:b/>
          <w:bCs/>
          <w:rtl/>
          <w:lang w:bidi="he-IL"/>
        </w:rPr>
        <w:t>חידושי הר</w:t>
      </w:r>
      <w:r>
        <w:rPr>
          <w:rFonts w:hint="cs"/>
          <w:b/>
          <w:bCs/>
          <w:rtl/>
          <w:lang w:bidi="he-IL"/>
        </w:rPr>
        <w:t xml:space="preserve">יטב"א </w:t>
      </w:r>
      <w:r w:rsidR="0033618B">
        <w:rPr>
          <w:rFonts w:hint="cs"/>
          <w:rtl/>
          <w:lang w:bidi="he-IL"/>
        </w:rPr>
        <w:t>ו.</w:t>
      </w:r>
      <w:r>
        <w:rPr>
          <w:rFonts w:hint="cs"/>
          <w:rtl/>
          <w:lang w:bidi="he-IL"/>
        </w:rPr>
        <w:t xml:space="preserve"> (ד"ה </w:t>
      </w:r>
      <w:r w:rsidRPr="00BB712F">
        <w:rPr>
          <w:rFonts w:hint="cs"/>
          <w:rtl/>
          <w:lang w:bidi="he-IL"/>
        </w:rPr>
        <w:t>למיחזי</w:t>
      </w:r>
      <w:r>
        <w:rPr>
          <w:rFonts w:hint="cs"/>
          <w:rtl/>
          <w:lang w:bidi="he-IL"/>
        </w:rPr>
        <w:t>) [עד "...</w:t>
      </w:r>
      <w:r w:rsidR="001F3BDC">
        <w:rPr>
          <w:rFonts w:cs="Arial"/>
          <w:rtl/>
          <w:lang w:bidi="he-IL"/>
        </w:rPr>
        <w:t xml:space="preserve">או אתכוונתון </w:t>
      </w:r>
      <w:r>
        <w:rPr>
          <w:rFonts w:hint="cs"/>
          <w:rtl/>
          <w:lang w:bidi="he-IL"/>
        </w:rPr>
        <w:t>"]</w:t>
      </w:r>
    </w:p>
    <w:p w14:paraId="4757DD32" w14:textId="794E95E2" w:rsidR="0033618B" w:rsidRDefault="0033618B" w:rsidP="0049106B">
      <w:pPr>
        <w:jc w:val="right"/>
        <w:rPr>
          <w:rtl/>
          <w:lang w:bidi="he-IL"/>
        </w:rPr>
      </w:pPr>
      <w:r w:rsidRPr="0033618B">
        <w:rPr>
          <w:rFonts w:hint="cs"/>
          <w:b/>
          <w:bCs/>
          <w:rtl/>
          <w:lang w:bidi="he-IL"/>
        </w:rPr>
        <w:t>גבורת ארי</w:t>
      </w:r>
      <w:r>
        <w:rPr>
          <w:rFonts w:hint="cs"/>
          <w:b/>
          <w:bCs/>
          <w:rtl/>
          <w:lang w:bidi="he-IL"/>
        </w:rPr>
        <w:t xml:space="preserve"> </w:t>
      </w:r>
      <w:r w:rsidRPr="0033618B">
        <w:rPr>
          <w:rFonts w:hint="cs"/>
          <w:rtl/>
          <w:lang w:bidi="he-IL"/>
        </w:rPr>
        <w:t>שם</w:t>
      </w:r>
      <w:r>
        <w:rPr>
          <w:rFonts w:hint="cs"/>
          <w:rtl/>
          <w:lang w:bidi="he-IL"/>
        </w:rPr>
        <w:t xml:space="preserve"> (ד"ה והוא שהעידו</w:t>
      </w:r>
      <w:r w:rsidR="008B70A6">
        <w:rPr>
          <w:rFonts w:hint="cs"/>
          <w:rtl/>
          <w:lang w:bidi="he-IL"/>
        </w:rPr>
        <w:t xml:space="preserve"> כולן</w:t>
      </w:r>
      <w:r>
        <w:rPr>
          <w:rFonts w:hint="cs"/>
          <w:rtl/>
          <w:lang w:bidi="he-IL"/>
        </w:rPr>
        <w:t>)</w:t>
      </w:r>
      <w:r w:rsidR="008B70A6">
        <w:rPr>
          <w:rFonts w:hint="cs"/>
          <w:rtl/>
          <w:lang w:bidi="he-IL"/>
        </w:rPr>
        <w:t xml:space="preserve"> </w:t>
      </w:r>
    </w:p>
    <w:p w14:paraId="56D8F21E" w14:textId="75C42849" w:rsidR="00206AD0" w:rsidRPr="00206AD0" w:rsidRDefault="00206AD0" w:rsidP="0049106B">
      <w:pPr>
        <w:jc w:val="right"/>
        <w:rPr>
          <w:u w:val="single"/>
          <w:rtl/>
          <w:lang w:bidi="he-IL"/>
        </w:rPr>
      </w:pPr>
      <w:r>
        <w:rPr>
          <w:rFonts w:hint="cs"/>
          <w:u w:val="single"/>
          <w:rtl/>
          <w:lang w:bidi="he-IL"/>
        </w:rPr>
        <w:t>עדי קיום ועדי בירור</w:t>
      </w:r>
    </w:p>
    <w:p w14:paraId="44000F41" w14:textId="5435AB41" w:rsidR="001F3BDC" w:rsidRDefault="001F3BDC" w:rsidP="00401118">
      <w:pPr>
        <w:jc w:val="right"/>
        <w:rPr>
          <w:rtl/>
          <w:lang w:bidi="he-IL"/>
        </w:rPr>
      </w:pPr>
      <w:r w:rsidRPr="001F3BDC">
        <w:rPr>
          <w:rFonts w:hint="cs"/>
          <w:b/>
          <w:bCs/>
          <w:rtl/>
          <w:lang w:bidi="he-IL"/>
        </w:rPr>
        <w:t>חידושי הריטב"א</w:t>
      </w:r>
      <w:r>
        <w:rPr>
          <w:rFonts w:hint="cs"/>
          <w:rtl/>
          <w:lang w:bidi="he-IL"/>
        </w:rPr>
        <w:t xml:space="preserve"> קידושין מג. (ד"ה </w:t>
      </w:r>
      <w:r w:rsidRPr="001F3BDC">
        <w:rPr>
          <w:rFonts w:hint="cs"/>
          <w:rtl/>
          <w:lang w:bidi="he-IL"/>
        </w:rPr>
        <w:t>אתמר רב אמר</w:t>
      </w:r>
      <w:r>
        <w:rPr>
          <w:rFonts w:hint="cs"/>
          <w:rtl/>
          <w:lang w:bidi="he-IL"/>
        </w:rPr>
        <w:t>)</w:t>
      </w:r>
      <w:r w:rsidR="008B7228">
        <w:rPr>
          <w:rFonts w:hint="cs"/>
          <w:rtl/>
          <w:lang w:bidi="he-IL"/>
        </w:rPr>
        <w:t xml:space="preserve"> ["</w:t>
      </w:r>
      <w:r w:rsidR="00401118" w:rsidRPr="00401118">
        <w:rPr>
          <w:rtl/>
          <w:lang w:bidi="he-IL"/>
        </w:rPr>
        <w:t>מיהו כל היכא</w:t>
      </w:r>
      <w:r w:rsidR="00401118">
        <w:rPr>
          <w:rFonts w:hint="cs"/>
          <w:rtl/>
          <w:lang w:bidi="he-IL"/>
        </w:rPr>
        <w:t xml:space="preserve"> </w:t>
      </w:r>
      <w:r w:rsidR="008B7228">
        <w:rPr>
          <w:rFonts w:hint="cs"/>
          <w:rtl/>
          <w:lang w:bidi="he-IL"/>
        </w:rPr>
        <w:t>... וראוי להחמיר"]</w:t>
      </w:r>
    </w:p>
    <w:p w14:paraId="22481479" w14:textId="26A5ED6A" w:rsidR="00206AD0" w:rsidRDefault="00206AD0" w:rsidP="001F3BDC">
      <w:pPr>
        <w:jc w:val="right"/>
        <w:rPr>
          <w:rtl/>
          <w:lang w:bidi="he-IL"/>
        </w:rPr>
      </w:pPr>
      <w:r w:rsidRPr="00206AD0">
        <w:rPr>
          <w:rFonts w:hint="cs"/>
          <w:b/>
          <w:bCs/>
          <w:rtl/>
          <w:lang w:bidi="he-IL"/>
        </w:rPr>
        <w:t>גמ'</w:t>
      </w:r>
      <w:r>
        <w:rPr>
          <w:rFonts w:hint="cs"/>
          <w:b/>
          <w:bCs/>
          <w:rtl/>
          <w:lang w:bidi="he-IL"/>
        </w:rPr>
        <w:t xml:space="preserve"> </w:t>
      </w:r>
      <w:r w:rsidRPr="00206AD0">
        <w:rPr>
          <w:rFonts w:hint="cs"/>
          <w:rtl/>
          <w:lang w:bidi="he-IL"/>
        </w:rPr>
        <w:t>גיטין עג.</w:t>
      </w:r>
      <w:r>
        <w:rPr>
          <w:rFonts w:hint="cs"/>
          <w:rtl/>
          <w:lang w:bidi="he-IL"/>
        </w:rPr>
        <w:t xml:space="preserve"> ["מתני' לא תתייחד... בשפחתה"], </w:t>
      </w:r>
      <w:r w:rsidRPr="00206AD0">
        <w:rPr>
          <w:rFonts w:hint="cs"/>
          <w:b/>
          <w:bCs/>
          <w:rtl/>
          <w:lang w:bidi="he-IL"/>
        </w:rPr>
        <w:t>רש"י</w:t>
      </w:r>
      <w:r>
        <w:rPr>
          <w:rFonts w:hint="cs"/>
          <w:rtl/>
          <w:lang w:bidi="he-IL"/>
        </w:rPr>
        <w:t xml:space="preserve"> שם</w:t>
      </w:r>
    </w:p>
    <w:p w14:paraId="4691C7B6" w14:textId="70938DB8" w:rsidR="00206AD0" w:rsidRDefault="00206AD0" w:rsidP="001F3BDC">
      <w:pPr>
        <w:jc w:val="right"/>
        <w:rPr>
          <w:rtl/>
          <w:lang w:bidi="he-IL"/>
        </w:rPr>
      </w:pPr>
      <w:r>
        <w:rPr>
          <w:rFonts w:hint="cs"/>
          <w:b/>
          <w:bCs/>
          <w:rtl/>
          <w:lang w:bidi="he-IL"/>
        </w:rPr>
        <w:t>רי"ף</w:t>
      </w:r>
      <w:r>
        <w:rPr>
          <w:rFonts w:hint="cs"/>
          <w:rtl/>
          <w:lang w:bidi="he-IL"/>
        </w:rPr>
        <w:t xml:space="preserve"> שם לה: (בדפי הרי"ף) ["ולא תתיחד... אין מצטרפין"]</w:t>
      </w:r>
    </w:p>
    <w:p w14:paraId="67B0B856" w14:textId="452AD5A9" w:rsidR="00206AD0" w:rsidRDefault="00206AD0" w:rsidP="001F3BDC">
      <w:pPr>
        <w:jc w:val="right"/>
        <w:rPr>
          <w:rtl/>
          <w:lang w:bidi="he-IL"/>
        </w:rPr>
      </w:pPr>
      <w:r w:rsidRPr="00206AD0">
        <w:rPr>
          <w:rFonts w:hint="cs"/>
          <w:b/>
          <w:bCs/>
          <w:rtl/>
          <w:lang w:bidi="he-IL"/>
        </w:rPr>
        <w:t>ר"ן</w:t>
      </w:r>
      <w:r>
        <w:rPr>
          <w:rFonts w:hint="cs"/>
          <w:b/>
          <w:bCs/>
          <w:rtl/>
          <w:lang w:bidi="he-IL"/>
        </w:rPr>
        <w:t xml:space="preserve"> </w:t>
      </w:r>
      <w:r w:rsidRPr="00206AD0">
        <w:rPr>
          <w:rFonts w:hint="cs"/>
          <w:rtl/>
          <w:lang w:bidi="he-IL"/>
        </w:rPr>
        <w:t>שם</w:t>
      </w:r>
      <w:r w:rsidRPr="00206AD0">
        <w:rPr>
          <w:rFonts w:hint="cs"/>
          <w:b/>
          <w:bCs/>
          <w:rtl/>
          <w:lang w:bidi="he-IL"/>
        </w:rPr>
        <w:t xml:space="preserve"> </w:t>
      </w:r>
      <w:r w:rsidR="00C541A1" w:rsidRPr="00C541A1">
        <w:rPr>
          <w:rFonts w:hint="cs"/>
          <w:rtl/>
          <w:lang w:bidi="he-IL"/>
        </w:rPr>
        <w:t xml:space="preserve">(ד"ה </w:t>
      </w:r>
      <w:r w:rsidR="00C541A1">
        <w:rPr>
          <w:rFonts w:hint="cs"/>
          <w:rtl/>
          <w:lang w:bidi="he-IL"/>
        </w:rPr>
        <w:t>ולא תתיחד עמו, אחד אינה צריכה גט, זה היה מעשה)</w:t>
      </w:r>
    </w:p>
    <w:p w14:paraId="7ADDCF90" w14:textId="0FBBCFC3" w:rsidR="001A6EBA" w:rsidRDefault="001A6EBA" w:rsidP="001A6EBA">
      <w:pPr>
        <w:jc w:val="right"/>
        <w:rPr>
          <w:rtl/>
          <w:lang w:bidi="he-IL"/>
        </w:rPr>
      </w:pPr>
      <w:r w:rsidRPr="001A6EBA">
        <w:rPr>
          <w:b/>
          <w:bCs/>
          <w:rtl/>
          <w:lang w:bidi="he-IL"/>
        </w:rPr>
        <w:t>שו"ת רבי עקיבא</w:t>
      </w:r>
      <w:r w:rsidRPr="001A6EBA">
        <w:rPr>
          <w:rtl/>
          <w:lang w:bidi="he-IL"/>
        </w:rPr>
        <w:t xml:space="preserve"> </w:t>
      </w:r>
      <w:r w:rsidRPr="001A6EBA">
        <w:rPr>
          <w:b/>
          <w:bCs/>
          <w:rtl/>
          <w:lang w:bidi="he-IL"/>
        </w:rPr>
        <w:t>איגר</w:t>
      </w:r>
      <w:r w:rsidRPr="001A6EBA">
        <w:rPr>
          <w:rtl/>
          <w:lang w:bidi="he-IL"/>
        </w:rPr>
        <w:t xml:space="preserve"> </w:t>
      </w:r>
      <w:r>
        <w:rPr>
          <w:rFonts w:hint="cs"/>
          <w:rtl/>
          <w:lang w:bidi="he-IL"/>
        </w:rPr>
        <w:t>(</w:t>
      </w:r>
      <w:r w:rsidRPr="001A6EBA">
        <w:rPr>
          <w:rtl/>
          <w:lang w:bidi="he-IL"/>
        </w:rPr>
        <w:t>מהדורא קמא סימן רכ</w:t>
      </w:r>
      <w:r>
        <w:rPr>
          <w:rFonts w:hint="cs"/>
          <w:rtl/>
          <w:lang w:bidi="he-IL"/>
        </w:rPr>
        <w:t>"</w:t>
      </w:r>
      <w:r w:rsidRPr="001A6EBA">
        <w:rPr>
          <w:rtl/>
          <w:lang w:bidi="he-IL"/>
        </w:rPr>
        <w:t>ב</w:t>
      </w:r>
      <w:r>
        <w:rPr>
          <w:rFonts w:hint="cs"/>
          <w:rtl/>
          <w:lang w:bidi="he-IL"/>
        </w:rPr>
        <w:t xml:space="preserve"> אות י"ח)</w:t>
      </w:r>
      <w:r>
        <w:rPr>
          <w:rStyle w:val="FootnoteReference"/>
          <w:rtl/>
          <w:lang w:bidi="he-IL"/>
        </w:rPr>
        <w:footnoteReference w:id="1"/>
      </w:r>
    </w:p>
    <w:p w14:paraId="519F4B84" w14:textId="6A6192D3" w:rsidR="003D6360" w:rsidRDefault="003D6360" w:rsidP="003D6360">
      <w:pPr>
        <w:jc w:val="right"/>
        <w:rPr>
          <w:rtl/>
          <w:lang w:bidi="he-IL"/>
        </w:rPr>
      </w:pPr>
      <w:r w:rsidRPr="003D6360">
        <w:rPr>
          <w:b/>
          <w:bCs/>
          <w:rtl/>
          <w:lang w:bidi="he-IL"/>
        </w:rPr>
        <w:t>שערי ישר</w:t>
      </w:r>
      <w:r w:rsidRPr="003D6360">
        <w:rPr>
          <w:rtl/>
          <w:lang w:bidi="he-IL"/>
        </w:rPr>
        <w:t xml:space="preserve"> </w:t>
      </w:r>
      <w:r>
        <w:rPr>
          <w:rFonts w:hint="cs"/>
          <w:rtl/>
          <w:lang w:bidi="he-IL"/>
        </w:rPr>
        <w:t>(</w:t>
      </w:r>
      <w:r w:rsidRPr="003D6360">
        <w:rPr>
          <w:rtl/>
          <w:lang w:bidi="he-IL"/>
        </w:rPr>
        <w:t>שער ז</w:t>
      </w:r>
      <w:r>
        <w:rPr>
          <w:rFonts w:hint="cs"/>
          <w:rtl/>
          <w:lang w:bidi="he-IL"/>
        </w:rPr>
        <w:t>'</w:t>
      </w:r>
      <w:r w:rsidRPr="003D6360">
        <w:rPr>
          <w:rtl/>
          <w:lang w:bidi="he-IL"/>
        </w:rPr>
        <w:t xml:space="preserve"> פרק ג</w:t>
      </w:r>
      <w:r>
        <w:rPr>
          <w:rFonts w:hint="cs"/>
          <w:rtl/>
          <w:lang w:bidi="he-IL"/>
        </w:rPr>
        <w:t>' סי' מ"ה)</w:t>
      </w:r>
      <w:r>
        <w:rPr>
          <w:rStyle w:val="FootnoteReference"/>
          <w:rtl/>
          <w:lang w:bidi="he-IL"/>
        </w:rPr>
        <w:footnoteReference w:id="2"/>
      </w:r>
    </w:p>
    <w:p w14:paraId="0A2035DD" w14:textId="0CAE2149" w:rsidR="005A107D" w:rsidRPr="005A107D" w:rsidRDefault="005A107D" w:rsidP="005A107D">
      <w:pPr>
        <w:jc w:val="right"/>
        <w:rPr>
          <w:lang w:bidi="he-IL"/>
        </w:rPr>
      </w:pPr>
      <w:r w:rsidRPr="005A107D">
        <w:rPr>
          <w:b/>
          <w:bCs/>
          <w:rtl/>
          <w:lang w:bidi="he-IL"/>
        </w:rPr>
        <w:t>קצות החושן</w:t>
      </w:r>
      <w:r w:rsidRPr="005A107D">
        <w:rPr>
          <w:rtl/>
          <w:lang w:bidi="he-IL"/>
        </w:rPr>
        <w:t xml:space="preserve"> </w:t>
      </w:r>
      <w:r>
        <w:rPr>
          <w:rFonts w:hint="cs"/>
          <w:rtl/>
          <w:lang w:bidi="he-IL"/>
        </w:rPr>
        <w:t>(</w:t>
      </w:r>
      <w:r w:rsidRPr="005A107D">
        <w:rPr>
          <w:rtl/>
          <w:lang w:bidi="he-IL"/>
        </w:rPr>
        <w:t>סימן רמ</w:t>
      </w:r>
      <w:r>
        <w:rPr>
          <w:rFonts w:hint="cs"/>
          <w:rtl/>
          <w:lang w:bidi="he-IL"/>
        </w:rPr>
        <w:t>"</w:t>
      </w:r>
      <w:r w:rsidRPr="005A107D">
        <w:rPr>
          <w:rtl/>
          <w:lang w:bidi="he-IL"/>
        </w:rPr>
        <w:t>א ס"ק א</w:t>
      </w:r>
      <w:r>
        <w:rPr>
          <w:rFonts w:hint="cs"/>
          <w:rtl/>
          <w:lang w:bidi="he-IL"/>
        </w:rPr>
        <w:t>')</w:t>
      </w:r>
      <w:r>
        <w:rPr>
          <w:rStyle w:val="FootnoteReference"/>
          <w:rtl/>
          <w:lang w:bidi="he-IL"/>
        </w:rPr>
        <w:footnoteReference w:id="3"/>
      </w:r>
    </w:p>
    <w:p w14:paraId="67F311BE" w14:textId="1390B586" w:rsidR="00C541A1" w:rsidRDefault="00C541A1" w:rsidP="001F3BDC">
      <w:pPr>
        <w:jc w:val="right"/>
        <w:rPr>
          <w:b/>
          <w:bCs/>
          <w:rtl/>
          <w:lang w:bidi="he-IL"/>
        </w:rPr>
      </w:pPr>
    </w:p>
    <w:p w14:paraId="31908D94" w14:textId="77777777" w:rsidR="002F30F4" w:rsidRDefault="002F30F4" w:rsidP="001F3BDC">
      <w:pPr>
        <w:jc w:val="right"/>
        <w:rPr>
          <w:b/>
          <w:bCs/>
          <w:lang w:bidi="he-IL"/>
        </w:rPr>
      </w:pPr>
    </w:p>
    <w:p w14:paraId="713239D0" w14:textId="77777777" w:rsidR="001A6EBA" w:rsidRPr="001A6EBA" w:rsidRDefault="001A6EBA" w:rsidP="001A6EBA">
      <w:pPr>
        <w:jc w:val="right"/>
        <w:rPr>
          <w:u w:val="single"/>
        </w:rPr>
      </w:pPr>
      <w:r w:rsidRPr="001A6EBA">
        <w:rPr>
          <w:rFonts w:cs="Arial"/>
          <w:u w:val="single"/>
          <w:rtl/>
          <w:lang w:bidi="he-IL"/>
        </w:rPr>
        <w:t>שו"ת רבי עקיבא איגר מהדורא קמא סימן רכב</w:t>
      </w:r>
    </w:p>
    <w:p w14:paraId="0E558827" w14:textId="1609E178" w:rsidR="003D6360" w:rsidRDefault="001A6EBA" w:rsidP="005A107D">
      <w:pPr>
        <w:jc w:val="right"/>
        <w:rPr>
          <w:rFonts w:cs="Arial"/>
          <w:rtl/>
          <w:lang w:bidi="he-IL"/>
        </w:rPr>
      </w:pPr>
      <w:r w:rsidRPr="001A6EBA">
        <w:rPr>
          <w:rFonts w:cs="Arial"/>
          <w:rtl/>
          <w:lang w:bidi="he-IL"/>
        </w:rPr>
        <w:t>ובדברי הר"ן שם קשה לי שכתב דמש"ה לא מהני צירוף עדי' דקדושין כדיני נפשות דמי דקדושין שייך בנפשות הא בפשוטו ניחא כיון דקדושין בלא עדים לא תפסי, איך שייך לצרף ב' ביאות לקדושין, הא בכל ביאה וביאה דהי' בפני ע"א לא נתפסו הקדושין וצירוף ל"ש רק בהלואה אחר הלואה דלא איברי סהדי אלא לשקרי אבל ההלואה עצמה בלא עדים ג"כ מקרי הלואה בזה שייך דמצרפין דע"י הצירוף ידוע להב"ד האמת שהלוה אבל בקדושין אף דהאמת ידוע לנו דקדשה, מ"מ הלא לא נתפסו מעשי קדושין שהי' בפני ע"א וכיון דכל מעשה הקדושין בפני עצמה לא נתפס איך שייך צירוף באמת היכי דע"א מעיד דנתקדשה בפניו ביום פלוני בפני ב' עדים, וע"א מעיד על יום אחר דנתקדשה בפני ב' עדים שייך לדון אם מצרפין להעיד דנתקדשה בפני ב', אבל בנידון דהר"ן שם דנתייחדה בשחרית בפני ע"א ובערבית בפני ע"א פשיטא דל"ש צירוף לשווי קדושין וצע"ג</w:t>
      </w:r>
      <w:r>
        <w:rPr>
          <w:rFonts w:cs="Arial" w:hint="cs"/>
          <w:rtl/>
          <w:lang w:bidi="he-IL"/>
        </w:rPr>
        <w:t>.</w:t>
      </w:r>
    </w:p>
    <w:p w14:paraId="06E4AE40" w14:textId="77777777" w:rsidR="003D6360" w:rsidRPr="003D6360" w:rsidRDefault="003D6360" w:rsidP="003D6360">
      <w:pPr>
        <w:jc w:val="right"/>
        <w:rPr>
          <w:u w:val="single"/>
        </w:rPr>
      </w:pPr>
      <w:r w:rsidRPr="003D6360">
        <w:rPr>
          <w:rFonts w:cs="Arial"/>
          <w:u w:val="single"/>
          <w:rtl/>
          <w:lang w:bidi="he-IL"/>
        </w:rPr>
        <w:lastRenderedPageBreak/>
        <w:t>שערי ישר שער ז פרק ג</w:t>
      </w:r>
    </w:p>
    <w:p w14:paraId="13D4A135" w14:textId="11942D93" w:rsidR="003D6360" w:rsidRDefault="003D6360" w:rsidP="003D6360">
      <w:pPr>
        <w:jc w:val="right"/>
        <w:rPr>
          <w:rFonts w:cs="Arial"/>
          <w:rtl/>
          <w:lang w:bidi="he-IL"/>
        </w:rPr>
      </w:pPr>
      <w:r>
        <w:rPr>
          <w:rFonts w:cs="Arial"/>
          <w:rtl/>
          <w:lang w:bidi="he-IL"/>
        </w:rPr>
        <w:t>והנה על פי מה שביארנו דעדים המועילים לקיום הדבר בקדושין דומים לגמרי לעדים המועילים לקיום הדבר בממון אצל בי"ד, נלענ"ד דכמו דמהני צירוף אצל בי"ד ע"י שני עדים מיוחדים אף אם לא העידו ביחד, ואף אם העידו על קרקע וכדומה, שבפועל לא הועיל בעדותו כלום עד הראשון כל זמן שלא בא עד השני, מ"מ אח"כ מצרפינן כח הדין של שני עדים, ובע"כ עלינו לומר דאף שלא הועיל לשום דין בפועל, אבל בכח נעשה ע"י עד הראשון חצי קיום הדבר, ומשו"ה אם נתחדש אח"כ עוד חצי קיום, נשלם דין עדות לקיום הדבר, כמו כן יש לדון במקדש בפני עד אחד בשחרית ובפני עד אחד ערבית, אף למ"ד מקדש בפני עד אחד אין חוששין לקדושין, היינו דלא חל שום דין איסור בפועל, כמו בממון היכא דלא שייכא שבועה, אבל מ"מ חצי קיום הדבר נעשה על פי עד אחד, ואח"כ שקידש עוד בפני עד אחד נגמר קיום הדבר, דענין מה שהצריכה תורה לקדושין עדים, אין העדים חלק והצטרפות אל עצם מעשה הקנין כמו הכסף ושטר, אלא המעשה היא מעשה שלימה וסיבה הראויה להועיל לחלות הקדושין, אלא שאמרה תורה שלא יחול חלות הקדושין בלא עדים, ומשו"ה בנידון כזה שנעשה שני מעשים של קדושין שכל אחת היא סיבה שלימה לקדושין, ומה שחסר בזה עדים כיון דלכל מעשה היה עד אחד ובהצטרפות הרי איכא כאן שני עדים, ומשו"ה לולא שכתב הר"ן דענין קדושין שייך לנפשות, היה מועיל בזה דין צירוף עדות</w:t>
      </w:r>
      <w:r>
        <w:rPr>
          <w:rFonts w:cs="Arial" w:hint="cs"/>
          <w:rtl/>
          <w:lang w:bidi="he-IL"/>
        </w:rPr>
        <w:t>.</w:t>
      </w:r>
    </w:p>
    <w:p w14:paraId="2B9C9510" w14:textId="77777777" w:rsidR="002F30F4" w:rsidRPr="002F30F4" w:rsidRDefault="002F30F4" w:rsidP="002F30F4">
      <w:pPr>
        <w:jc w:val="right"/>
        <w:rPr>
          <w:u w:val="single"/>
        </w:rPr>
      </w:pPr>
      <w:r w:rsidRPr="002F30F4">
        <w:rPr>
          <w:rFonts w:cs="Arial"/>
          <w:u w:val="single"/>
          <w:rtl/>
          <w:lang w:bidi="he-IL"/>
        </w:rPr>
        <w:t>קצות החושן סימן רמא ס"ק א</w:t>
      </w:r>
    </w:p>
    <w:p w14:paraId="30ABD1B0" w14:textId="1E7B6D75" w:rsidR="005A3246" w:rsidRDefault="002F30F4" w:rsidP="008B6295">
      <w:pPr>
        <w:jc w:val="right"/>
        <w:rPr>
          <w:rFonts w:cs="Arial"/>
          <w:rtl/>
          <w:lang w:bidi="he-IL"/>
        </w:rPr>
      </w:pPr>
      <w:r>
        <w:rPr>
          <w:rFonts w:cs="Arial"/>
          <w:rtl/>
          <w:lang w:bidi="he-IL"/>
        </w:rPr>
        <w:t>אם שניהם מודים. ומשום דלא איברי סהדי אלא לשקרי. ואיכא למידק מאי שנא בגיטין וקידושין דבעינן שני עדים על גוף המעשה ובינו לבינה לאו כלום הוא ואפילו שניהם מודים, וילפינן לה פרק האומר (קידושין) דף ס"ה (ע"ב) דבר דבר מממון, וכיון דגבי ממון מתקיים המעשה בלי עדים כל שהענין אמת, וקידושין וגיטין דמממון יליף לא נתקיים המעשה בלי עדים</w:t>
      </w:r>
      <w:r>
        <w:rPr>
          <w:rFonts w:cs="Arial" w:hint="cs"/>
          <w:rtl/>
          <w:lang w:bidi="he-IL"/>
        </w:rPr>
        <w:t>..</w:t>
      </w:r>
      <w:r>
        <w:rPr>
          <w:rFonts w:cs="Arial"/>
          <w:rtl/>
          <w:lang w:bidi="he-IL"/>
        </w:rPr>
        <w:t xml:space="preserve">. ולכן נראה לענ"ד בזה לפי מ"ש בסימן ל"ד סק"ד בהא דקי"ל הודאת בע"ד כמאה עדים אינה משום מתנה כמו שעלה על דעת מוהר"י ן' לב (ספר א' סי' י"ט), אלא עיקר הטעם משום דהתורה האמינה לכל אדם על עצמו כמאה עדים על אחרים, והיינו נמי טעמא דאומר פתח פתוח מצאתי נאמן לאוסרה משום דשויה אנפשיה חתיכה דאיסורא (כתובות ט, א) דאינו משום נדר וכמו שעלה על דעת מוהרי"ט (חלק אה"ע סי' א') אלא משום דהתורה האמינתו לכל אדם על עצמו, ואפילו עבד ושפחה דפסילי לעדות היינו לאחרים אבל על עצמן התורה האמינה לכל פסולי עדות. וע"ש שכתבנו דאבוהן דכולהן </w:t>
      </w:r>
      <w:r w:rsidR="008B6295">
        <w:rPr>
          <w:rFonts w:cs="Arial" w:hint="cs"/>
          <w:rtl/>
          <w:lang w:bidi="he-IL"/>
        </w:rPr>
        <w:t>"</w:t>
      </w:r>
      <w:r>
        <w:rPr>
          <w:rFonts w:cs="Arial"/>
          <w:rtl/>
          <w:lang w:bidi="he-IL"/>
        </w:rPr>
        <w:t>כי הוא זה</w:t>
      </w:r>
      <w:r w:rsidR="008B6295">
        <w:rPr>
          <w:rFonts w:cs="Arial" w:hint="cs"/>
          <w:rtl/>
          <w:lang w:bidi="he-IL"/>
        </w:rPr>
        <w:t>"</w:t>
      </w:r>
      <w:r>
        <w:rPr>
          <w:rFonts w:cs="Arial"/>
          <w:rtl/>
          <w:lang w:bidi="he-IL"/>
        </w:rPr>
        <w:t xml:space="preserve"> (שמות כב, ח) דכתיב במודה במקצת, וכמ"ש רש"י (קידושין) דף ס"ה (ע"ב ד"ה הודאת בעל דין) הודאת בע"ד כמאה עדים דכתיב </w:t>
      </w:r>
      <w:r w:rsidR="008B6295">
        <w:rPr>
          <w:rFonts w:cs="Arial" w:hint="cs"/>
          <w:rtl/>
          <w:lang w:bidi="he-IL"/>
        </w:rPr>
        <w:t>"</w:t>
      </w:r>
      <w:r>
        <w:rPr>
          <w:rFonts w:cs="Arial"/>
          <w:rtl/>
          <w:lang w:bidi="he-IL"/>
        </w:rPr>
        <w:t>אשר יאמר כי הוא זה</w:t>
      </w:r>
      <w:r w:rsidR="008B6295">
        <w:rPr>
          <w:rFonts w:cs="Arial" w:hint="cs"/>
          <w:rtl/>
          <w:lang w:bidi="he-IL"/>
        </w:rPr>
        <w:t>"</w:t>
      </w:r>
      <w:r>
        <w:rPr>
          <w:rFonts w:cs="Arial"/>
          <w:rtl/>
          <w:lang w:bidi="he-IL"/>
        </w:rPr>
        <w:t xml:space="preserve"> הרי שסמך על מקצת הודאתו עכ"ל, ומזה הוכחנו שם בסימן ל"ד דמודה במקצת ע"כ אינו משום מתנה כמ"ש מוהר"י ן' לב </w:t>
      </w:r>
      <w:r w:rsidR="005A107D">
        <w:rPr>
          <w:rFonts w:cs="Arial" w:hint="cs"/>
          <w:rtl/>
          <w:lang w:bidi="he-IL"/>
        </w:rPr>
        <w:t>...</w:t>
      </w:r>
      <w:r>
        <w:rPr>
          <w:rFonts w:cs="Arial"/>
          <w:rtl/>
          <w:lang w:bidi="he-IL"/>
        </w:rPr>
        <w:t xml:space="preserve"> אלא על כרחך דהתורה האמינה להודאת בע"ד </w:t>
      </w:r>
      <w:r w:rsidR="005A107D">
        <w:rPr>
          <w:rFonts w:cs="Arial" w:hint="cs"/>
          <w:rtl/>
          <w:lang w:bidi="he-IL"/>
        </w:rPr>
        <w:t xml:space="preserve">... </w:t>
      </w:r>
      <w:r>
        <w:rPr>
          <w:rFonts w:cs="Arial"/>
          <w:rtl/>
          <w:lang w:bidi="he-IL"/>
        </w:rPr>
        <w:t xml:space="preserve">ולפ"ז נראה הא דכתיב על פי שני(ם) עדים יקום דבר היינו דבלא עדים לא מתקיים דבר כלל, אלא דגבי ממון דבע"ד נאמן כמאה עדים והרי עדיו עמו </w:t>
      </w:r>
      <w:r w:rsidR="005A3246">
        <w:rPr>
          <w:rFonts w:cs="Arial" w:hint="cs"/>
          <w:rtl/>
          <w:lang w:bidi="he-IL"/>
        </w:rPr>
        <w:t>...</w:t>
      </w:r>
      <w:r>
        <w:rPr>
          <w:rFonts w:cs="Arial"/>
          <w:rtl/>
          <w:lang w:bidi="he-IL"/>
        </w:rPr>
        <w:t xml:space="preserve"> וא"כ בממון מתקיים המעשה על פי הבע"ד שהוא כמאה עדים, דעיקרא דמלתא דצריך עדים בגוף הקידושין הוא בכדי שיוודע לעלמא </w:t>
      </w:r>
      <w:r w:rsidR="005A3246">
        <w:rPr>
          <w:rFonts w:cs="Arial" w:hint="cs"/>
          <w:rtl/>
          <w:lang w:bidi="he-IL"/>
        </w:rPr>
        <w:t>...</w:t>
      </w:r>
      <w:r>
        <w:rPr>
          <w:rFonts w:cs="Arial"/>
          <w:rtl/>
          <w:lang w:bidi="he-IL"/>
        </w:rPr>
        <w:t xml:space="preserve"> ועיין בסימן צ' ושם סק"ז כתבנו מזה דס"ל להר"ן דמהני בקידושין וגיטין עדות בידיעה שלא על פי ראיה, ומש"ה בממון דבע"ד כמאה עדים לא איברי סהדי אלא לשקרי דהא בע"ד הוא עד ונאמן כמאה עדים אצלנו, ובידוע סגי הן בעדים ממש או בידיעה בלי ראיה </w:t>
      </w:r>
      <w:r w:rsidR="005A3246">
        <w:rPr>
          <w:rFonts w:cs="Arial" w:hint="cs"/>
          <w:rtl/>
          <w:lang w:bidi="he-IL"/>
        </w:rPr>
        <w:t>...</w:t>
      </w:r>
      <w:r>
        <w:rPr>
          <w:rFonts w:cs="Arial"/>
          <w:rtl/>
          <w:lang w:bidi="he-IL"/>
        </w:rPr>
        <w:t xml:space="preserve"> אבל בגיטין וקידושין דלא מהני הודאת בע"ד דלהימניה כמאה עדים ומשום דחייב לאחריני, בקידושין דאסר[ה] אקרובותיה ובגירושין (אסרן) [אסרה אכהן] כמ"ש תוס' בפ"ק דגיטין דף ד' (ע"א ד"ה דקיי"ל), וצריך עדים לגוף המעשה בכדי שיודע לעלמא, מש"ה צריך שני עדים כשרים. וא"כ יליף שפיר דבר דבר מממון מה התם על פי שנים עדים יקום דבר דאין קימה לדבר הן לקנין או לשאר מעשה אלא על פי עדים, אלא דגבי ממון בע"ד הוא העד ובגיטין וקידושין בעי עדים כשרים משום דבע"ד אינו עד. </w:t>
      </w:r>
    </w:p>
    <w:p w14:paraId="73F95F4E" w14:textId="77777777" w:rsidR="001F3BDC" w:rsidRPr="0049106B" w:rsidRDefault="001F3BDC" w:rsidP="0049106B">
      <w:pPr>
        <w:jc w:val="right"/>
        <w:rPr>
          <w:b/>
          <w:bCs/>
          <w:rtl/>
          <w:lang w:bidi="he-IL"/>
        </w:rPr>
      </w:pPr>
    </w:p>
    <w:p w14:paraId="19674BDA" w14:textId="77777777" w:rsidR="0049106B" w:rsidRPr="00897912" w:rsidRDefault="0049106B" w:rsidP="00897912">
      <w:pPr>
        <w:jc w:val="right"/>
        <w:rPr>
          <w:rtl/>
          <w:lang w:bidi="he-IL"/>
        </w:rPr>
      </w:pPr>
    </w:p>
    <w:p w14:paraId="3D4CA635" w14:textId="77777777" w:rsidR="008530F9" w:rsidRDefault="00000000">
      <w:pPr>
        <w:rPr>
          <w:rtl/>
          <w:lang w:bidi="he-IL"/>
        </w:rPr>
      </w:pPr>
    </w:p>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6AED" w14:textId="77777777" w:rsidR="00BD4BED" w:rsidRDefault="00BD4BED" w:rsidP="001A6EBA">
      <w:pPr>
        <w:spacing w:after="0" w:line="240" w:lineRule="auto"/>
      </w:pPr>
      <w:r>
        <w:separator/>
      </w:r>
    </w:p>
  </w:endnote>
  <w:endnote w:type="continuationSeparator" w:id="0">
    <w:p w14:paraId="15EF55E6" w14:textId="77777777" w:rsidR="00BD4BED" w:rsidRDefault="00BD4BED" w:rsidP="001A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0F8F" w14:textId="77777777" w:rsidR="00BD4BED" w:rsidRDefault="00BD4BED" w:rsidP="001A6EBA">
      <w:pPr>
        <w:spacing w:after="0" w:line="240" w:lineRule="auto"/>
      </w:pPr>
      <w:r>
        <w:separator/>
      </w:r>
    </w:p>
  </w:footnote>
  <w:footnote w:type="continuationSeparator" w:id="0">
    <w:p w14:paraId="740614B5" w14:textId="77777777" w:rsidR="00BD4BED" w:rsidRDefault="00BD4BED" w:rsidP="001A6EBA">
      <w:pPr>
        <w:spacing w:after="0" w:line="240" w:lineRule="auto"/>
      </w:pPr>
      <w:r>
        <w:continuationSeparator/>
      </w:r>
    </w:p>
  </w:footnote>
  <w:footnote w:id="1">
    <w:p w14:paraId="386DA665" w14:textId="1CAC1843" w:rsidR="001A6EBA" w:rsidRPr="001A6EBA" w:rsidRDefault="001A6EBA">
      <w:pPr>
        <w:pStyle w:val="FootnoteText"/>
        <w:rPr>
          <w:sz w:val="16"/>
          <w:szCs w:val="16"/>
          <w:lang w:bidi="he-IL"/>
        </w:rPr>
      </w:pPr>
      <w:r w:rsidRPr="001A6EBA">
        <w:rPr>
          <w:rStyle w:val="FootnoteReference"/>
          <w:sz w:val="16"/>
          <w:szCs w:val="16"/>
        </w:rPr>
        <w:footnoteRef/>
      </w:r>
      <w:r w:rsidRPr="001A6EBA">
        <w:rPr>
          <w:sz w:val="16"/>
          <w:szCs w:val="16"/>
        </w:rPr>
        <w:t xml:space="preserve"> </w:t>
      </w:r>
      <w:r w:rsidRPr="001A6EBA">
        <w:rPr>
          <w:sz w:val="16"/>
          <w:szCs w:val="16"/>
          <w:lang w:bidi="he-IL"/>
        </w:rPr>
        <w:t>See below</w:t>
      </w:r>
    </w:p>
  </w:footnote>
  <w:footnote w:id="2">
    <w:p w14:paraId="3C8541AD" w14:textId="01B9F54E" w:rsidR="003D6360" w:rsidRPr="003D6360" w:rsidRDefault="003D6360">
      <w:pPr>
        <w:pStyle w:val="FootnoteText"/>
        <w:rPr>
          <w:sz w:val="16"/>
          <w:szCs w:val="16"/>
          <w:lang w:bidi="he-IL"/>
        </w:rPr>
      </w:pPr>
      <w:r w:rsidRPr="003D6360">
        <w:rPr>
          <w:rStyle w:val="FootnoteReference"/>
          <w:sz w:val="16"/>
          <w:szCs w:val="16"/>
        </w:rPr>
        <w:footnoteRef/>
      </w:r>
      <w:r w:rsidRPr="003D6360">
        <w:rPr>
          <w:sz w:val="16"/>
          <w:szCs w:val="16"/>
        </w:rPr>
        <w:t xml:space="preserve"> </w:t>
      </w:r>
      <w:r w:rsidRPr="003D6360">
        <w:rPr>
          <w:sz w:val="16"/>
          <w:szCs w:val="16"/>
          <w:lang w:bidi="he-IL"/>
        </w:rPr>
        <w:t>See below</w:t>
      </w:r>
      <w:r>
        <w:rPr>
          <w:sz w:val="16"/>
          <w:szCs w:val="16"/>
          <w:lang w:bidi="he-IL"/>
        </w:rPr>
        <w:t xml:space="preserve">.  The </w:t>
      </w:r>
      <w:r>
        <w:rPr>
          <w:rFonts w:hint="cs"/>
          <w:sz w:val="16"/>
          <w:szCs w:val="16"/>
          <w:rtl/>
          <w:lang w:bidi="he-IL"/>
        </w:rPr>
        <w:t>שערי יושר</w:t>
      </w:r>
      <w:r>
        <w:rPr>
          <w:sz w:val="16"/>
          <w:szCs w:val="16"/>
          <w:lang w:bidi="he-IL"/>
        </w:rPr>
        <w:t xml:space="preserve"> here is defending the </w:t>
      </w:r>
      <w:r>
        <w:rPr>
          <w:rFonts w:hint="cs"/>
          <w:sz w:val="16"/>
          <w:szCs w:val="16"/>
          <w:rtl/>
          <w:lang w:bidi="he-IL"/>
        </w:rPr>
        <w:t>ר"ן</w:t>
      </w:r>
      <w:r>
        <w:rPr>
          <w:sz w:val="16"/>
          <w:szCs w:val="16"/>
          <w:lang w:bidi="he-IL"/>
        </w:rPr>
        <w:t xml:space="preserve"> from the question posed by </w:t>
      </w:r>
      <w:r>
        <w:rPr>
          <w:rFonts w:hint="cs"/>
          <w:sz w:val="16"/>
          <w:szCs w:val="16"/>
          <w:rtl/>
          <w:lang w:bidi="he-IL"/>
        </w:rPr>
        <w:t>רע"א</w:t>
      </w:r>
      <w:r>
        <w:rPr>
          <w:sz w:val="16"/>
          <w:szCs w:val="16"/>
          <w:lang w:bidi="he-IL"/>
        </w:rPr>
        <w:t xml:space="preserve"> in the previous </w:t>
      </w:r>
      <w:r>
        <w:rPr>
          <w:rFonts w:hint="cs"/>
          <w:sz w:val="16"/>
          <w:szCs w:val="16"/>
          <w:rtl/>
          <w:lang w:bidi="he-IL"/>
        </w:rPr>
        <w:t>מקור</w:t>
      </w:r>
      <w:r>
        <w:rPr>
          <w:sz w:val="16"/>
          <w:szCs w:val="16"/>
          <w:lang w:bidi="he-IL"/>
        </w:rPr>
        <w:t>.</w:t>
      </w:r>
    </w:p>
  </w:footnote>
  <w:footnote w:id="3">
    <w:p w14:paraId="0F3FA678" w14:textId="721E78B6" w:rsidR="005A107D" w:rsidRPr="005A107D" w:rsidRDefault="005A107D">
      <w:pPr>
        <w:pStyle w:val="FootnoteText"/>
        <w:rPr>
          <w:sz w:val="16"/>
          <w:szCs w:val="16"/>
          <w:lang w:bidi="he-IL"/>
        </w:rPr>
      </w:pPr>
      <w:r w:rsidRPr="005A107D">
        <w:rPr>
          <w:rStyle w:val="FootnoteReference"/>
          <w:sz w:val="16"/>
          <w:szCs w:val="16"/>
        </w:rPr>
        <w:footnoteRef/>
      </w:r>
      <w:r w:rsidRPr="005A107D">
        <w:rPr>
          <w:sz w:val="16"/>
          <w:szCs w:val="16"/>
        </w:rPr>
        <w:t xml:space="preserve"> </w:t>
      </w:r>
      <w:r w:rsidRPr="005A107D">
        <w:rPr>
          <w:sz w:val="16"/>
          <w:szCs w:val="16"/>
          <w:lang w:bidi="he-IL"/>
        </w:rPr>
        <w:t xml:space="preserve">See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12"/>
    <w:rsid w:val="001420C4"/>
    <w:rsid w:val="001A6EBA"/>
    <w:rsid w:val="001F3BDC"/>
    <w:rsid w:val="00206AD0"/>
    <w:rsid w:val="002F30F4"/>
    <w:rsid w:val="0033618B"/>
    <w:rsid w:val="003D6360"/>
    <w:rsid w:val="00401118"/>
    <w:rsid w:val="0049106B"/>
    <w:rsid w:val="005A107D"/>
    <w:rsid w:val="005A3246"/>
    <w:rsid w:val="00897912"/>
    <w:rsid w:val="008A1AE2"/>
    <w:rsid w:val="008B6295"/>
    <w:rsid w:val="008B70A6"/>
    <w:rsid w:val="008B7228"/>
    <w:rsid w:val="00A46F84"/>
    <w:rsid w:val="00BD4BED"/>
    <w:rsid w:val="00C541A1"/>
    <w:rsid w:val="00DD51D3"/>
    <w:rsid w:val="00E8181A"/>
    <w:rsid w:val="00E97D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0D5C"/>
  <w15:chartTrackingRefBased/>
  <w15:docId w15:val="{A192B64E-0E2E-4B86-816F-15611EF0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6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EBA"/>
    <w:rPr>
      <w:sz w:val="20"/>
      <w:szCs w:val="20"/>
    </w:rPr>
  </w:style>
  <w:style w:type="character" w:styleId="FootnoteReference">
    <w:name w:val="footnote reference"/>
    <w:basedOn w:val="DefaultParagraphFont"/>
    <w:uiPriority w:val="99"/>
    <w:semiHidden/>
    <w:unhideWhenUsed/>
    <w:rsid w:val="001A6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1C09-6D36-4744-AE6E-2780E437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cp:lastPrinted>2022-08-01T13:34:00Z</cp:lastPrinted>
  <dcterms:created xsi:type="dcterms:W3CDTF">2022-07-31T21:02:00Z</dcterms:created>
  <dcterms:modified xsi:type="dcterms:W3CDTF">2022-08-01T16:00:00Z</dcterms:modified>
</cp:coreProperties>
</file>