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8F0A" w14:textId="77777777" w:rsidR="007A0075" w:rsidRPr="007A0075" w:rsidRDefault="007A0075" w:rsidP="007A0075">
      <w:pPr>
        <w:jc w:val="right"/>
        <w:rPr>
          <w:rtl/>
          <w:lang w:bidi="he-IL"/>
        </w:rPr>
      </w:pPr>
      <w:r w:rsidRPr="007A0075">
        <w:rPr>
          <w:rFonts w:hint="cs"/>
          <w:rtl/>
          <w:lang w:bidi="he-IL"/>
        </w:rPr>
        <w:t>הרב שמואל דוב ווייס</w:t>
      </w:r>
    </w:p>
    <w:p w14:paraId="71956844" w14:textId="2D2C5D10" w:rsidR="007A0075" w:rsidRPr="007A0075" w:rsidRDefault="007A0075" w:rsidP="007A0075">
      <w:pPr>
        <w:jc w:val="center"/>
        <w:rPr>
          <w:rFonts w:cs="Arial"/>
          <w:b/>
          <w:bCs/>
          <w:sz w:val="24"/>
          <w:szCs w:val="24"/>
          <w:u w:val="single"/>
          <w:rtl/>
          <w:lang w:bidi="he-IL"/>
        </w:rPr>
      </w:pPr>
      <w:bookmarkStart w:id="0" w:name="_Hlk99977879"/>
      <w:r w:rsidRPr="007A0075">
        <w:rPr>
          <w:rFonts w:cs="Arial" w:hint="cs"/>
          <w:b/>
          <w:bCs/>
          <w:sz w:val="26"/>
          <w:szCs w:val="26"/>
          <w:u w:val="single"/>
          <w:rtl/>
          <w:lang w:bidi="he-IL"/>
        </w:rPr>
        <w:t>'כאשר זמם' ולא כאשר עשה</w:t>
      </w:r>
      <w:r w:rsidRPr="007A0075">
        <w:rPr>
          <w:rFonts w:cs="Arial" w:hint="cs"/>
          <w:sz w:val="28"/>
          <w:szCs w:val="28"/>
          <w:rtl/>
          <w:lang w:bidi="he-IL"/>
        </w:rPr>
        <w:t xml:space="preserve"> </w:t>
      </w:r>
      <w:r w:rsidRPr="007A0075">
        <w:rPr>
          <w:rFonts w:cs="Arial" w:hint="cs"/>
          <w:sz w:val="24"/>
          <w:szCs w:val="24"/>
          <w:rtl/>
          <w:lang w:bidi="he-IL"/>
        </w:rPr>
        <w:t>(#</w:t>
      </w:r>
      <w:r>
        <w:rPr>
          <w:rFonts w:cs="Arial" w:hint="cs"/>
          <w:sz w:val="24"/>
          <w:szCs w:val="24"/>
          <w:rtl/>
          <w:lang w:bidi="he-IL"/>
        </w:rPr>
        <w:t>4</w:t>
      </w:r>
      <w:r w:rsidRPr="007A0075">
        <w:rPr>
          <w:rFonts w:cs="Arial" w:hint="cs"/>
          <w:sz w:val="24"/>
          <w:szCs w:val="24"/>
          <w:rtl/>
          <w:lang w:bidi="he-IL"/>
        </w:rPr>
        <w:t>)</w:t>
      </w:r>
    </w:p>
    <w:bookmarkEnd w:id="0"/>
    <w:p w14:paraId="0BCDFFA7" w14:textId="77777777" w:rsidR="007A0075" w:rsidRPr="007A0075" w:rsidRDefault="007A0075" w:rsidP="007A0075">
      <w:pPr>
        <w:jc w:val="right"/>
        <w:rPr>
          <w:rFonts w:cs="Arial"/>
          <w:u w:val="single"/>
          <w:rtl/>
          <w:lang w:bidi="he-IL"/>
        </w:rPr>
      </w:pPr>
      <w:r w:rsidRPr="007A0075">
        <w:rPr>
          <w:rFonts w:cs="Arial" w:hint="cs"/>
          <w:u w:val="single"/>
          <w:rtl/>
          <w:lang w:bidi="he-IL"/>
        </w:rPr>
        <w:t>מקור הדין</w:t>
      </w:r>
    </w:p>
    <w:p w14:paraId="29733626" w14:textId="77777777" w:rsidR="00DE635B" w:rsidRPr="00DE635B" w:rsidRDefault="00DE635B" w:rsidP="00DE635B">
      <w:pPr>
        <w:jc w:val="right"/>
        <w:rPr>
          <w:rtl/>
          <w:lang w:bidi="he-IL"/>
        </w:rPr>
      </w:pPr>
      <w:r w:rsidRPr="00DE635B">
        <w:rPr>
          <w:rFonts w:hint="cs"/>
          <w:b/>
          <w:bCs/>
          <w:rtl/>
          <w:lang w:bidi="he-IL"/>
        </w:rPr>
        <w:t>גמ'</w:t>
      </w:r>
      <w:r w:rsidRPr="00DE635B">
        <w:rPr>
          <w:rFonts w:hint="cs"/>
          <w:rtl/>
          <w:lang w:bidi="he-IL"/>
        </w:rPr>
        <w:t xml:space="preserve"> ה: ["מתני' אין העדים... שאין עונשין מן הדין"], </w:t>
      </w:r>
      <w:r w:rsidRPr="00DE635B">
        <w:rPr>
          <w:rFonts w:hint="cs"/>
          <w:b/>
          <w:bCs/>
          <w:rtl/>
          <w:lang w:bidi="he-IL"/>
        </w:rPr>
        <w:t>רש"י</w:t>
      </w:r>
      <w:r w:rsidRPr="00DE635B">
        <w:rPr>
          <w:rFonts w:hint="cs"/>
          <w:rtl/>
          <w:lang w:bidi="he-IL"/>
        </w:rPr>
        <w:t xml:space="preserve"> שם [בפרט ד"ה לעשות לאחיו]</w:t>
      </w:r>
    </w:p>
    <w:p w14:paraId="70A57336" w14:textId="47E7EE96" w:rsidR="008530F9" w:rsidRDefault="00DE635B" w:rsidP="00DE635B">
      <w:pPr>
        <w:jc w:val="right"/>
        <w:rPr>
          <w:rtl/>
          <w:lang w:bidi="he-IL"/>
        </w:rPr>
      </w:pPr>
      <w:r w:rsidRPr="00DE635B">
        <w:rPr>
          <w:rFonts w:hint="cs"/>
          <w:b/>
          <w:bCs/>
          <w:rtl/>
          <w:lang w:bidi="he-IL"/>
        </w:rPr>
        <w:t>חי' הרמב"ן</w:t>
      </w:r>
      <w:r w:rsidR="00B8334E">
        <w:rPr>
          <w:rFonts w:hint="cs"/>
          <w:b/>
          <w:bCs/>
          <w:rtl/>
          <w:lang w:bidi="he-IL"/>
        </w:rPr>
        <w:t xml:space="preserve"> </w:t>
      </w:r>
      <w:r w:rsidR="00B8334E" w:rsidRPr="00B8334E">
        <w:rPr>
          <w:rFonts w:hint="cs"/>
          <w:rtl/>
          <w:lang w:bidi="he-IL"/>
        </w:rPr>
        <w:t>יז:</w:t>
      </w:r>
      <w:r w:rsidR="00B8334E">
        <w:rPr>
          <w:rFonts w:hint="cs"/>
          <w:rtl/>
          <w:lang w:bidi="he-IL"/>
        </w:rPr>
        <w:t xml:space="preserve"> (ד"ה גמ' אפילו למ"ד) ["ומיהא משמע לכו"ע..." עד הסוף]</w:t>
      </w:r>
    </w:p>
    <w:p w14:paraId="27B8DE1D" w14:textId="3F54FBC5" w:rsidR="00B8334E" w:rsidRDefault="00B8334E" w:rsidP="00DE635B">
      <w:pPr>
        <w:jc w:val="right"/>
        <w:rPr>
          <w:rtl/>
          <w:lang w:bidi="he-IL"/>
        </w:rPr>
      </w:pPr>
      <w:r w:rsidRPr="00B8334E">
        <w:rPr>
          <w:rFonts w:hint="cs"/>
          <w:b/>
          <w:bCs/>
          <w:rtl/>
          <w:lang w:bidi="he-IL"/>
        </w:rPr>
        <w:t>רמב"ן</w:t>
      </w:r>
      <w:r>
        <w:rPr>
          <w:rFonts w:hint="cs"/>
          <w:b/>
          <w:bCs/>
          <w:rtl/>
          <w:lang w:bidi="he-IL"/>
        </w:rPr>
        <w:t xml:space="preserve"> </w:t>
      </w:r>
      <w:r w:rsidRPr="00B8334E">
        <w:rPr>
          <w:rFonts w:hint="cs"/>
          <w:rtl/>
          <w:lang w:bidi="he-IL"/>
        </w:rPr>
        <w:t>דברים</w:t>
      </w:r>
      <w:r>
        <w:rPr>
          <w:rFonts w:hint="cs"/>
          <w:rtl/>
          <w:lang w:bidi="he-IL"/>
        </w:rPr>
        <w:t xml:space="preserve"> י"ט:י"ט [</w:t>
      </w:r>
      <w:r w:rsidR="009F4D17">
        <w:rPr>
          <w:rFonts w:hint="cs"/>
          <w:rtl/>
          <w:lang w:bidi="he-IL"/>
        </w:rPr>
        <w:t>עד "... מדברי רבותינו"]</w:t>
      </w:r>
    </w:p>
    <w:p w14:paraId="3A4B9A18" w14:textId="0229A387" w:rsidR="009F4D17" w:rsidRDefault="009F4D17" w:rsidP="00DE635B">
      <w:pPr>
        <w:jc w:val="right"/>
        <w:rPr>
          <w:rtl/>
          <w:lang w:bidi="he-IL"/>
        </w:rPr>
      </w:pPr>
      <w:r>
        <w:rPr>
          <w:rFonts w:hint="cs"/>
          <w:b/>
          <w:bCs/>
          <w:rtl/>
          <w:lang w:bidi="he-IL"/>
        </w:rPr>
        <w:t>חי' הריטב"א</w:t>
      </w:r>
      <w:r>
        <w:rPr>
          <w:rFonts w:hint="cs"/>
          <w:rtl/>
          <w:lang w:bidi="he-IL"/>
        </w:rPr>
        <w:t xml:space="preserve"> ה: (ד"ה מתני' אין העדים) [עד "... במקום קרא אחרינא"]</w:t>
      </w:r>
      <w:r w:rsidR="00E5565B">
        <w:rPr>
          <w:rFonts w:hint="cs"/>
          <w:rtl/>
          <w:lang w:bidi="he-IL"/>
        </w:rPr>
        <w:t>, (ד"ה למדתינו רבינו)</w:t>
      </w:r>
    </w:p>
    <w:p w14:paraId="127335BE" w14:textId="4E8F43E0" w:rsidR="00E5565B" w:rsidRDefault="00D74906" w:rsidP="00DE635B">
      <w:pPr>
        <w:jc w:val="right"/>
        <w:rPr>
          <w:rtl/>
          <w:lang w:bidi="he-IL"/>
        </w:rPr>
      </w:pPr>
      <w:r w:rsidRPr="00D74906">
        <w:rPr>
          <w:rFonts w:hint="cs"/>
          <w:b/>
          <w:bCs/>
          <w:rtl/>
          <w:lang w:bidi="he-IL"/>
        </w:rPr>
        <w:t>גמ'</w:t>
      </w:r>
      <w:r>
        <w:rPr>
          <w:rFonts w:hint="cs"/>
          <w:b/>
          <w:bCs/>
          <w:rtl/>
          <w:lang w:bidi="he-IL"/>
        </w:rPr>
        <w:t xml:space="preserve"> </w:t>
      </w:r>
      <w:r>
        <w:rPr>
          <w:rFonts w:hint="cs"/>
          <w:rtl/>
          <w:lang w:bidi="he-IL"/>
        </w:rPr>
        <w:t>סנהדרין י. ["משום ר' ישמעאל אמרו</w:t>
      </w:r>
      <w:r w:rsidR="0086394F">
        <w:rPr>
          <w:rFonts w:hint="cs"/>
          <w:rtl/>
          <w:lang w:bidi="he-IL"/>
        </w:rPr>
        <w:t xml:space="preserve">..."] - י: [עד "... אחיך בעינא וליכא"], </w:t>
      </w:r>
      <w:r w:rsidR="0086394F" w:rsidRPr="0086394F">
        <w:rPr>
          <w:rFonts w:hint="cs"/>
          <w:b/>
          <w:bCs/>
          <w:rtl/>
          <w:lang w:bidi="he-IL"/>
        </w:rPr>
        <w:t>רש"י</w:t>
      </w:r>
      <w:r w:rsidR="0086394F">
        <w:rPr>
          <w:rFonts w:hint="cs"/>
          <w:rtl/>
          <w:lang w:bidi="he-IL"/>
        </w:rPr>
        <w:t xml:space="preserve"> שם</w:t>
      </w:r>
    </w:p>
    <w:p w14:paraId="692BBDB7" w14:textId="008EF5CE" w:rsidR="0086394F" w:rsidRDefault="0086394F" w:rsidP="00DE635B">
      <w:pPr>
        <w:jc w:val="right"/>
        <w:rPr>
          <w:rtl/>
          <w:lang w:bidi="he-IL"/>
        </w:rPr>
      </w:pPr>
      <w:r w:rsidRPr="0086394F">
        <w:rPr>
          <w:rFonts w:hint="cs"/>
          <w:b/>
          <w:bCs/>
          <w:rtl/>
          <w:lang w:bidi="he-IL"/>
        </w:rPr>
        <w:t>רש"ש</w:t>
      </w:r>
      <w:r>
        <w:rPr>
          <w:rFonts w:hint="cs"/>
          <w:rtl/>
          <w:lang w:bidi="he-IL"/>
        </w:rPr>
        <w:t xml:space="preserve"> שם י. (ד"ה גמ' א"ק ונקלה)</w:t>
      </w:r>
    </w:p>
    <w:p w14:paraId="791B338B" w14:textId="77777777" w:rsidR="003F2ADF" w:rsidRDefault="0086394F" w:rsidP="00DE635B">
      <w:pPr>
        <w:jc w:val="right"/>
        <w:rPr>
          <w:rtl/>
          <w:lang w:bidi="he-IL"/>
        </w:rPr>
      </w:pPr>
      <w:r w:rsidRPr="0086394F">
        <w:rPr>
          <w:rFonts w:hint="cs"/>
          <w:b/>
          <w:bCs/>
          <w:rtl/>
          <w:lang w:bidi="he-IL"/>
        </w:rPr>
        <w:t>רמב"ם</w:t>
      </w:r>
      <w:r>
        <w:rPr>
          <w:rFonts w:hint="cs"/>
          <w:rtl/>
          <w:lang w:bidi="he-IL"/>
        </w:rPr>
        <w:t xml:space="preserve"> הל' עדות (כ:ב)</w:t>
      </w:r>
    </w:p>
    <w:p w14:paraId="07788CA6" w14:textId="006776EC" w:rsidR="0086394F" w:rsidRDefault="0086394F" w:rsidP="00DE635B">
      <w:pPr>
        <w:jc w:val="right"/>
        <w:rPr>
          <w:rtl/>
          <w:lang w:bidi="he-IL"/>
        </w:rPr>
      </w:pPr>
      <w:r w:rsidRPr="0086394F">
        <w:rPr>
          <w:rFonts w:hint="cs"/>
          <w:b/>
          <w:bCs/>
          <w:rtl/>
          <w:lang w:bidi="he-IL"/>
        </w:rPr>
        <w:t>כסף משנה</w:t>
      </w:r>
      <w:r>
        <w:rPr>
          <w:rFonts w:hint="cs"/>
          <w:b/>
          <w:bCs/>
          <w:rtl/>
          <w:lang w:bidi="he-IL"/>
        </w:rPr>
        <w:t xml:space="preserve"> </w:t>
      </w:r>
      <w:r w:rsidRPr="0086394F">
        <w:rPr>
          <w:rFonts w:hint="cs"/>
          <w:rtl/>
          <w:lang w:bidi="he-IL"/>
        </w:rPr>
        <w:t>שם</w:t>
      </w:r>
      <w:r>
        <w:rPr>
          <w:rFonts w:hint="cs"/>
          <w:rtl/>
          <w:lang w:bidi="he-IL"/>
        </w:rPr>
        <w:t xml:space="preserve"> (ד"ה נהרג זה</w:t>
      </w:r>
      <w:r w:rsidR="00330238">
        <w:rPr>
          <w:rFonts w:hint="cs"/>
          <w:rtl/>
          <w:lang w:bidi="he-IL"/>
        </w:rPr>
        <w:t>) [עד "... מפי הקבלה הוא"]</w:t>
      </w:r>
    </w:p>
    <w:p w14:paraId="1C49E9BE" w14:textId="4E3A1D4B" w:rsidR="003F2ADF" w:rsidRPr="003F2ADF" w:rsidRDefault="003F2ADF" w:rsidP="00DE635B">
      <w:pPr>
        <w:jc w:val="right"/>
        <w:rPr>
          <w:b/>
          <w:bCs/>
          <w:rtl/>
          <w:lang w:bidi="he-IL"/>
        </w:rPr>
      </w:pPr>
      <w:r w:rsidRPr="003F2ADF">
        <w:rPr>
          <w:rFonts w:hint="cs"/>
          <w:b/>
          <w:bCs/>
          <w:rtl/>
          <w:lang w:bidi="he-IL"/>
        </w:rPr>
        <w:t>רדב"ז</w:t>
      </w:r>
      <w:r>
        <w:rPr>
          <w:rFonts w:hint="cs"/>
          <w:b/>
          <w:bCs/>
          <w:rtl/>
          <w:lang w:bidi="he-IL"/>
        </w:rPr>
        <w:t xml:space="preserve"> </w:t>
      </w:r>
      <w:r w:rsidRPr="003F2ADF">
        <w:rPr>
          <w:rFonts w:hint="cs"/>
          <w:rtl/>
          <w:lang w:bidi="he-IL"/>
        </w:rPr>
        <w:t>שם</w:t>
      </w:r>
      <w:r>
        <w:rPr>
          <w:rFonts w:hint="cs"/>
          <w:rtl/>
          <w:lang w:bidi="he-IL"/>
        </w:rPr>
        <w:t xml:space="preserve"> (ד"ה אבל אם לקה זה) [עד "... וצריך תלמוד"]</w:t>
      </w:r>
    </w:p>
    <w:p w14:paraId="2FC17C34" w14:textId="15AA92F7" w:rsidR="00556A60" w:rsidRDefault="00556A60" w:rsidP="00556A60">
      <w:pPr>
        <w:jc w:val="right"/>
        <w:rPr>
          <w:rtl/>
          <w:lang w:bidi="he-IL"/>
        </w:rPr>
      </w:pPr>
      <w:r w:rsidRPr="00556A60">
        <w:rPr>
          <w:rFonts w:hint="cs"/>
          <w:b/>
          <w:bCs/>
          <w:rtl/>
          <w:lang w:bidi="he-IL"/>
        </w:rPr>
        <w:t>שיטה מקובצת</w:t>
      </w:r>
      <w:r w:rsidRPr="00556A60">
        <w:rPr>
          <w:rFonts w:hint="cs"/>
          <w:rtl/>
          <w:lang w:bidi="he-IL"/>
        </w:rPr>
        <w:t xml:space="preserve"> ב"ק ד: (ד"ה עדים זוממין ודוקא)</w:t>
      </w:r>
      <w:r>
        <w:rPr>
          <w:rFonts w:hint="cs"/>
          <w:rtl/>
          <w:lang w:bidi="he-IL"/>
        </w:rPr>
        <w:t xml:space="preserve"> [עד "...</w:t>
      </w:r>
      <w:r w:rsidRPr="00556A60">
        <w:rPr>
          <w:rtl/>
          <w:lang w:bidi="he-IL"/>
        </w:rPr>
        <w:t>ולא שכבר עשה</w:t>
      </w:r>
      <w:r>
        <w:rPr>
          <w:rFonts w:hint="cs"/>
          <w:rtl/>
          <w:lang w:bidi="he-IL"/>
        </w:rPr>
        <w:t>"]</w:t>
      </w:r>
    </w:p>
    <w:p w14:paraId="5439AAD1" w14:textId="6192957A" w:rsidR="00556A60" w:rsidRPr="00556A60" w:rsidRDefault="00556A60" w:rsidP="00556A60">
      <w:pPr>
        <w:jc w:val="right"/>
        <w:rPr>
          <w:lang w:bidi="he-IL"/>
        </w:rPr>
      </w:pPr>
      <w:r w:rsidRPr="00556A60">
        <w:rPr>
          <w:b/>
          <w:bCs/>
          <w:rtl/>
          <w:lang w:bidi="he-IL"/>
        </w:rPr>
        <w:t>ספר יראים</w:t>
      </w:r>
      <w:r w:rsidRPr="00556A60">
        <w:rPr>
          <w:rtl/>
          <w:lang w:bidi="he-IL"/>
        </w:rPr>
        <w:t xml:space="preserve"> </w:t>
      </w:r>
      <w:r>
        <w:rPr>
          <w:rFonts w:hint="cs"/>
          <w:rtl/>
          <w:lang w:bidi="he-IL"/>
        </w:rPr>
        <w:t>(</w:t>
      </w:r>
      <w:r w:rsidRPr="00556A60">
        <w:rPr>
          <w:rtl/>
          <w:lang w:bidi="he-IL"/>
        </w:rPr>
        <w:t>סימן י</w:t>
      </w:r>
      <w:r>
        <w:rPr>
          <w:rFonts w:hint="cs"/>
          <w:rtl/>
          <w:lang w:bidi="he-IL"/>
        </w:rPr>
        <w:t>"</w:t>
      </w:r>
      <w:r w:rsidRPr="00556A60">
        <w:rPr>
          <w:rtl/>
          <w:lang w:bidi="he-IL"/>
        </w:rPr>
        <w:t>ט</w:t>
      </w:r>
      <w:r>
        <w:rPr>
          <w:rFonts w:hint="cs"/>
          <w:rtl/>
          <w:lang w:bidi="he-IL"/>
        </w:rPr>
        <w:t>)</w:t>
      </w:r>
      <w:r>
        <w:rPr>
          <w:rStyle w:val="FootnoteReference"/>
          <w:rtl/>
          <w:lang w:bidi="he-IL"/>
        </w:rPr>
        <w:footnoteReference w:id="1"/>
      </w:r>
    </w:p>
    <w:p w14:paraId="4BD4C254" w14:textId="79511F01" w:rsidR="00556A60" w:rsidRPr="00556A60" w:rsidRDefault="003F2ADF" w:rsidP="003F2ADF">
      <w:pPr>
        <w:jc w:val="right"/>
        <w:rPr>
          <w:b/>
          <w:bCs/>
          <w:rtl/>
          <w:lang w:bidi="he-IL"/>
        </w:rPr>
      </w:pPr>
      <w:r w:rsidRPr="003F2ADF">
        <w:rPr>
          <w:b/>
          <w:bCs/>
          <w:rtl/>
          <w:lang w:bidi="he-IL"/>
        </w:rPr>
        <w:t xml:space="preserve">אור זרוע </w:t>
      </w:r>
      <w:r w:rsidRPr="003F2ADF">
        <w:rPr>
          <w:rFonts w:hint="cs"/>
          <w:rtl/>
          <w:lang w:bidi="he-IL"/>
        </w:rPr>
        <w:t>(</w:t>
      </w:r>
      <w:r w:rsidRPr="003F2ADF">
        <w:rPr>
          <w:rtl/>
          <w:lang w:bidi="he-IL"/>
        </w:rPr>
        <w:t>חלק ד</w:t>
      </w:r>
      <w:r>
        <w:rPr>
          <w:rFonts w:hint="cs"/>
          <w:rtl/>
          <w:lang w:bidi="he-IL"/>
        </w:rPr>
        <w:t>'</w:t>
      </w:r>
      <w:r w:rsidRPr="003F2ADF">
        <w:rPr>
          <w:rtl/>
          <w:lang w:bidi="he-IL"/>
        </w:rPr>
        <w:t xml:space="preserve"> פסקי סנהדרין סימן ל</w:t>
      </w:r>
      <w:r>
        <w:rPr>
          <w:rFonts w:hint="cs"/>
          <w:rtl/>
          <w:lang w:bidi="he-IL"/>
        </w:rPr>
        <w:t>"</w:t>
      </w:r>
      <w:r w:rsidRPr="003F2ADF">
        <w:rPr>
          <w:rtl/>
          <w:lang w:bidi="he-IL"/>
        </w:rPr>
        <w:t>ב</w:t>
      </w:r>
      <w:r>
        <w:rPr>
          <w:rFonts w:hint="cs"/>
          <w:rtl/>
          <w:lang w:bidi="he-IL"/>
        </w:rPr>
        <w:t>)</w:t>
      </w:r>
      <w:r>
        <w:rPr>
          <w:rStyle w:val="FootnoteReference"/>
          <w:rtl/>
          <w:lang w:bidi="he-IL"/>
        </w:rPr>
        <w:footnoteReference w:id="2"/>
      </w:r>
    </w:p>
    <w:p w14:paraId="040C0A31" w14:textId="3C0E98BA" w:rsidR="003937C9" w:rsidRDefault="00051DFE" w:rsidP="00E57B1B">
      <w:pPr>
        <w:jc w:val="right"/>
        <w:rPr>
          <w:rtl/>
          <w:lang w:bidi="he-IL"/>
        </w:rPr>
      </w:pPr>
      <w:r w:rsidRPr="00051DFE">
        <w:rPr>
          <w:rFonts w:hint="cs"/>
          <w:b/>
          <w:bCs/>
          <w:rtl/>
          <w:lang w:bidi="he-IL"/>
        </w:rPr>
        <w:t>פני</w:t>
      </w:r>
      <w:r>
        <w:rPr>
          <w:rFonts w:hint="cs"/>
          <w:b/>
          <w:bCs/>
          <w:rtl/>
          <w:lang w:bidi="he-IL"/>
        </w:rPr>
        <w:t xml:space="preserve"> יהושע</w:t>
      </w:r>
      <w:r>
        <w:rPr>
          <w:rFonts w:hint="cs"/>
          <w:rtl/>
          <w:lang w:bidi="he-IL"/>
        </w:rPr>
        <w:t xml:space="preserve"> ה: (ד"ה שם אמרו, ובזה נתישב)</w:t>
      </w:r>
    </w:p>
    <w:p w14:paraId="5B4EBD99" w14:textId="6313BEDF" w:rsidR="003937C9" w:rsidRDefault="003937C9" w:rsidP="00DE635B">
      <w:pPr>
        <w:jc w:val="right"/>
        <w:rPr>
          <w:rtl/>
          <w:lang w:bidi="he-IL"/>
        </w:rPr>
      </w:pPr>
      <w:r>
        <w:rPr>
          <w:rFonts w:hint="cs"/>
          <w:rtl/>
          <w:lang w:bidi="he-IL"/>
        </w:rPr>
        <w:t>[</w:t>
      </w:r>
      <w:r w:rsidRPr="003937C9">
        <w:rPr>
          <w:rFonts w:hint="cs"/>
          <w:b/>
          <w:bCs/>
          <w:rtl/>
          <w:lang w:bidi="he-IL"/>
        </w:rPr>
        <w:t>בית האוצר</w:t>
      </w:r>
      <w:r>
        <w:rPr>
          <w:rFonts w:hint="cs"/>
          <w:b/>
          <w:bCs/>
          <w:rtl/>
          <w:lang w:bidi="he-IL"/>
        </w:rPr>
        <w:t xml:space="preserve"> </w:t>
      </w:r>
      <w:r w:rsidRPr="003937C9">
        <w:rPr>
          <w:rFonts w:hint="cs"/>
          <w:rtl/>
          <w:lang w:bidi="he-IL"/>
        </w:rPr>
        <w:t>(לרב יוסף ענגל)</w:t>
      </w:r>
      <w:r>
        <w:rPr>
          <w:rFonts w:hint="cs"/>
          <w:rtl/>
          <w:lang w:bidi="he-IL"/>
        </w:rPr>
        <w:t xml:space="preserve"> מערכת א' כלל נ"ח (ד"ה אין עונשין מה"ד, וע"ש בכ"מ)]</w:t>
      </w:r>
      <w:r>
        <w:rPr>
          <w:rStyle w:val="FootnoteReference"/>
          <w:rtl/>
          <w:lang w:bidi="he-IL"/>
        </w:rPr>
        <w:footnoteReference w:id="3"/>
      </w:r>
    </w:p>
    <w:p w14:paraId="078E5E43" w14:textId="7BC2DD5E" w:rsidR="00556A60" w:rsidRDefault="00556A60" w:rsidP="00DE635B">
      <w:pPr>
        <w:jc w:val="right"/>
        <w:rPr>
          <w:rtl/>
          <w:lang w:bidi="he-IL"/>
        </w:rPr>
      </w:pPr>
    </w:p>
    <w:p w14:paraId="15104995" w14:textId="68717833" w:rsidR="00556A60" w:rsidRPr="00556A60" w:rsidRDefault="00556A60" w:rsidP="00556A60">
      <w:pPr>
        <w:jc w:val="right"/>
        <w:rPr>
          <w:u w:val="single"/>
        </w:rPr>
      </w:pPr>
      <w:r w:rsidRPr="00556A60">
        <w:rPr>
          <w:rFonts w:cs="Arial"/>
          <w:u w:val="single"/>
          <w:rtl/>
          <w:lang w:bidi="he-IL"/>
        </w:rPr>
        <w:t>ספר יראים סימן יט</w:t>
      </w:r>
    </w:p>
    <w:p w14:paraId="7DB365B7" w14:textId="6AFA34DB" w:rsidR="00556A60" w:rsidRDefault="00556A60" w:rsidP="00556A60">
      <w:pPr>
        <w:jc w:val="right"/>
        <w:rPr>
          <w:rFonts w:cs="Arial"/>
          <w:lang w:bidi="he-IL"/>
        </w:rPr>
      </w:pPr>
      <w:r w:rsidRPr="00556A60">
        <w:rPr>
          <w:rFonts w:cs="Arial"/>
          <w:rtl/>
          <w:lang w:bidi="he-IL"/>
        </w:rPr>
        <w:t>והזהיר עליהם הכתוב בעשרת הדברות לא תענה ברעך עד שקר, וענש במשנה תורה בשופטים ושוטרים דכתיב והנה עד שקר העד שקר ענה באחיו ועשיתם לו כאשר זמם לעשות לאחיו. ותנן במכות פ' ראשון [ה' ב'] אין העדים זוממים נהרגין עד שיגמור הדין שהרי הצדוקין אומרים עד שיהרג הנידון. אמרו להם הרי כבר נאמר לעשות לאחיו והרי אחיו קיים. פי' מעשות דריש דמשמע לעשות ולא עשה, אבל מאחיו לא דריש שהרי לאחר מיתה נמי נקרא אחיו כדכתיב לאחיו ולאחותו יטמא להם במותם: א"כ מה ת"ל נפש הא אינם נהרגין עד שיגמר הדין</w:t>
      </w:r>
      <w:r>
        <w:rPr>
          <w:rFonts w:cs="Arial" w:hint="cs"/>
          <w:rtl/>
          <w:lang w:bidi="he-IL"/>
        </w:rPr>
        <w:t>.</w:t>
      </w:r>
    </w:p>
    <w:p w14:paraId="7D353A3A" w14:textId="77777777" w:rsidR="00E97E80" w:rsidRPr="00E97E80" w:rsidRDefault="00E97E80" w:rsidP="00E97E80">
      <w:pPr>
        <w:jc w:val="right"/>
        <w:rPr>
          <w:u w:val="single"/>
        </w:rPr>
      </w:pPr>
      <w:r w:rsidRPr="00E97E80">
        <w:rPr>
          <w:rFonts w:cs="Arial"/>
          <w:u w:val="single"/>
          <w:rtl/>
          <w:lang w:bidi="he-IL"/>
        </w:rPr>
        <w:t>ספר אור זרוע חלק ד פסקי סנהדרין סימן לב</w:t>
      </w:r>
    </w:p>
    <w:p w14:paraId="1BCA9E16" w14:textId="49614A11" w:rsidR="00E97E80" w:rsidRPr="00556A60" w:rsidRDefault="00E97E80" w:rsidP="00E97E80">
      <w:pPr>
        <w:jc w:val="right"/>
        <w:rPr>
          <w:rFonts w:hint="cs"/>
          <w:rtl/>
          <w:lang w:bidi="he-IL"/>
        </w:rPr>
      </w:pPr>
      <w:r>
        <w:rPr>
          <w:rFonts w:cs="Arial"/>
          <w:rtl/>
          <w:lang w:bidi="he-IL"/>
        </w:rPr>
        <w:t xml:space="preserve">משום רבי עקיבה אמרו אף אין משלמין על פי עצמם. מאי טעמא דר' עקיבה קסבר קנסא הוא וקנסא אינו משלם על פי עצמו. אמר רבא תדע שהרי לא עשו מעשה ומשלמין פי' שעדיין לא שילם על ידו אלא שנגמר דינו לשלם. ר"נ אמר תדע שהרי ממון ביד בעלים ומשלמין. ומאי ניהו דלא עשה מעשה היינו דרבא. אימא וכן אמר ר"נ. </w:t>
      </w:r>
      <w:bookmarkStart w:id="1" w:name="_Hlk109135500"/>
      <w:r>
        <w:rPr>
          <w:rFonts w:cs="Arial"/>
          <w:rtl/>
          <w:lang w:bidi="he-IL"/>
        </w:rPr>
        <w:t xml:space="preserve">ופי' </w:t>
      </w:r>
      <w:r w:rsidRPr="00E97E80">
        <w:rPr>
          <w:rFonts w:cs="Arial"/>
          <w:b/>
          <w:bCs/>
          <w:rtl/>
          <w:lang w:bidi="he-IL"/>
        </w:rPr>
        <w:t>רבי' שמואל</w:t>
      </w:r>
      <w:r>
        <w:rPr>
          <w:rFonts w:cs="Arial"/>
          <w:rtl/>
          <w:lang w:bidi="he-IL"/>
        </w:rPr>
        <w:t xml:space="preserve"> זצ"ל דגבי ממון נמי דוקא כשנגמר דינו לשלם. ועד שלא שילם הוזמו אז חייב עד זומם לשלם. אבל אם כבר שילם ואחר כך הוזם אינו חייב לשלם דדרשינן כאשר זמם ולא כאשר עשה</w:t>
      </w:r>
      <w:bookmarkEnd w:id="1"/>
      <w:r>
        <w:rPr>
          <w:rFonts w:cs="Arial"/>
          <w:rtl/>
          <w:lang w:bidi="he-IL"/>
        </w:rPr>
        <w:t xml:space="preserve">. </w:t>
      </w:r>
      <w:r w:rsidRPr="00E97E80">
        <w:rPr>
          <w:rFonts w:cs="Arial"/>
          <w:b/>
          <w:bCs/>
          <w:rtl/>
          <w:lang w:bidi="he-IL"/>
        </w:rPr>
        <w:t>ורבי' יב"א</w:t>
      </w:r>
      <w:r>
        <w:rPr>
          <w:rFonts w:cs="Arial"/>
          <w:rtl/>
          <w:lang w:bidi="he-IL"/>
        </w:rPr>
        <w:t xml:space="preserve"> פי' דגבי ממון אף על פי שכבר שילם ואחר כך הוזם אפילו הכי חייב לשלם. דדוקא לגבי דיני נפשות שייך לומר ולא כאשר עשה שהרי </w:t>
      </w:r>
      <w:r>
        <w:rPr>
          <w:rFonts w:cs="Arial"/>
          <w:rtl/>
          <w:lang w:bidi="he-IL"/>
        </w:rPr>
        <w:lastRenderedPageBreak/>
        <w:t xml:space="preserve">כשנהרג על פיו זו היא עשייה שאי אפשר להחזירה ושייך לומ' בו כאשר זמם ולא כאשר עשה. אבל גבי ממון אם חייבו את ראובן על פיו לשלם לשמעון ושילם ואחר כך הוזם. הא עשייה זו אפשר להחזירה שהשמעון יחזיר לראובן מנה שלו ונמצא שלא עשה כלום. וכן אם פטרו את ראובן שלא לפרוע לשמעון והוזם עדיין יפרע לו. הילכך לא קרינן ביה ולא כאשר עשה. הילכך אפי' הוזם לאחר הפרעון חייב לשלם. וכדבריו כן נראה בעיני דתניא פ"ק דמכות (בדידי) אומר לא הרגו נהרגין. הרגו אין נהרגין. א"ל אביו בני ק"ו הוא א"ל לימדתני רבי' שאין עונשין מן הדין. משמע הא אי עונשין מן הדין. אמרי' כ"ש אם הרגו דנהרגין. מעתה גבי ממון דעונשין מן הדין </w:t>
      </w:r>
      <w:r>
        <w:rPr>
          <w:rFonts w:cs="Arial" w:hint="cs"/>
          <w:rtl/>
          <w:lang w:bidi="he-IL"/>
        </w:rPr>
        <w:t>...</w:t>
      </w:r>
      <w:r>
        <w:rPr>
          <w:rFonts w:cs="Arial"/>
          <w:rtl/>
          <w:lang w:bidi="he-IL"/>
        </w:rPr>
        <w:t xml:space="preserve"> כ"ש שאם הוזם אחר ששילם שחייב לשלם. אף על פי שיש לי לומר דעיקר דרשה סמיך אל אחיו כדתנן אמרו להם והלא כבר נא' ועשיתם לו כאשר זמם לעשות לאחיו והרי אחיו קיים ואפי' עונשין מן הדין ממעטי' הרגו מלאחיו. אין נראה בעיני. דאי לאו אין עונשין מן הדין. הא איכא למימר כאשר זמם לעשות לאחיו שהיה כבר. ותו דאפילו את"ל דעיקר דרשה אלאחיו סמכינן למעוטי הרגו אכתי גבי ממון נחייב אפי' הוזמו לאחר ששילם דממונ' מקטלא לא ילפינן.</w:t>
      </w:r>
    </w:p>
    <w:sectPr w:rsidR="00E97E80" w:rsidRPr="00556A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F3F49" w14:textId="77777777" w:rsidR="005C0E14" w:rsidRDefault="005C0E14" w:rsidP="003937C9">
      <w:pPr>
        <w:spacing w:after="0" w:line="240" w:lineRule="auto"/>
      </w:pPr>
      <w:r>
        <w:separator/>
      </w:r>
    </w:p>
  </w:endnote>
  <w:endnote w:type="continuationSeparator" w:id="0">
    <w:p w14:paraId="3BDA0201" w14:textId="77777777" w:rsidR="005C0E14" w:rsidRDefault="005C0E14" w:rsidP="0039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68C0" w14:textId="77777777" w:rsidR="005C0E14" w:rsidRDefault="005C0E14" w:rsidP="003937C9">
      <w:pPr>
        <w:spacing w:after="0" w:line="240" w:lineRule="auto"/>
      </w:pPr>
      <w:r>
        <w:separator/>
      </w:r>
    </w:p>
  </w:footnote>
  <w:footnote w:type="continuationSeparator" w:id="0">
    <w:p w14:paraId="16BA9B42" w14:textId="77777777" w:rsidR="005C0E14" w:rsidRDefault="005C0E14" w:rsidP="003937C9">
      <w:pPr>
        <w:spacing w:after="0" w:line="240" w:lineRule="auto"/>
      </w:pPr>
      <w:r>
        <w:continuationSeparator/>
      </w:r>
    </w:p>
  </w:footnote>
  <w:footnote w:id="1">
    <w:p w14:paraId="4F7D6314" w14:textId="40BFFAFF" w:rsidR="00556A60" w:rsidRPr="00556A60" w:rsidRDefault="00556A60">
      <w:pPr>
        <w:pStyle w:val="FootnoteText"/>
        <w:rPr>
          <w:sz w:val="16"/>
          <w:szCs w:val="16"/>
          <w:lang w:bidi="he-IL"/>
        </w:rPr>
      </w:pPr>
      <w:r w:rsidRPr="00556A60">
        <w:rPr>
          <w:rStyle w:val="FootnoteReference"/>
          <w:sz w:val="16"/>
          <w:szCs w:val="16"/>
        </w:rPr>
        <w:footnoteRef/>
      </w:r>
      <w:r w:rsidRPr="00556A60">
        <w:rPr>
          <w:sz w:val="16"/>
          <w:szCs w:val="16"/>
        </w:rPr>
        <w:t xml:space="preserve"> </w:t>
      </w:r>
      <w:r w:rsidRPr="00556A60">
        <w:rPr>
          <w:rFonts w:hint="cs"/>
          <w:sz w:val="16"/>
          <w:szCs w:val="16"/>
          <w:lang w:bidi="he-IL"/>
        </w:rPr>
        <w:t>S</w:t>
      </w:r>
      <w:r w:rsidRPr="00556A60">
        <w:rPr>
          <w:sz w:val="16"/>
          <w:szCs w:val="16"/>
          <w:lang w:bidi="he-IL"/>
        </w:rPr>
        <w:t>ee below</w:t>
      </w:r>
    </w:p>
  </w:footnote>
  <w:footnote w:id="2">
    <w:p w14:paraId="381F6A04" w14:textId="069BE509" w:rsidR="003F2ADF" w:rsidRPr="003F2ADF" w:rsidRDefault="003F2ADF">
      <w:pPr>
        <w:pStyle w:val="FootnoteText"/>
        <w:rPr>
          <w:sz w:val="16"/>
          <w:szCs w:val="16"/>
          <w:lang w:bidi="he-IL"/>
        </w:rPr>
      </w:pPr>
      <w:r w:rsidRPr="003F2ADF">
        <w:rPr>
          <w:rStyle w:val="FootnoteReference"/>
          <w:sz w:val="16"/>
          <w:szCs w:val="16"/>
        </w:rPr>
        <w:footnoteRef/>
      </w:r>
      <w:r w:rsidRPr="003F2ADF">
        <w:rPr>
          <w:sz w:val="16"/>
          <w:szCs w:val="16"/>
        </w:rPr>
        <w:t xml:space="preserve"> </w:t>
      </w:r>
      <w:r w:rsidRPr="003F2ADF">
        <w:rPr>
          <w:rFonts w:hint="cs"/>
          <w:sz w:val="16"/>
          <w:szCs w:val="16"/>
          <w:lang w:bidi="he-IL"/>
        </w:rPr>
        <w:t>S</w:t>
      </w:r>
      <w:r w:rsidRPr="003F2ADF">
        <w:rPr>
          <w:sz w:val="16"/>
          <w:szCs w:val="16"/>
          <w:lang w:bidi="he-IL"/>
        </w:rPr>
        <w:t>ee below</w:t>
      </w:r>
    </w:p>
  </w:footnote>
  <w:footnote w:id="3">
    <w:p w14:paraId="5F8CC43E" w14:textId="711EF338" w:rsidR="003937C9" w:rsidRPr="003937C9" w:rsidRDefault="003937C9">
      <w:pPr>
        <w:pStyle w:val="FootnoteText"/>
        <w:rPr>
          <w:sz w:val="16"/>
          <w:szCs w:val="16"/>
          <w:lang w:bidi="he-IL"/>
        </w:rPr>
      </w:pPr>
      <w:r w:rsidRPr="003937C9">
        <w:rPr>
          <w:rStyle w:val="FootnoteReference"/>
          <w:sz w:val="16"/>
          <w:szCs w:val="16"/>
        </w:rPr>
        <w:footnoteRef/>
      </w:r>
      <w:r w:rsidRPr="003937C9">
        <w:rPr>
          <w:sz w:val="16"/>
          <w:szCs w:val="16"/>
        </w:rPr>
        <w:t xml:space="preserve"> </w:t>
      </w:r>
      <w:r w:rsidRPr="003937C9">
        <w:rPr>
          <w:sz w:val="16"/>
          <w:szCs w:val="16"/>
          <w:lang w:bidi="he-IL"/>
        </w:rPr>
        <w:t xml:space="preserve">See the WhatsApp group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75"/>
    <w:rsid w:val="00051DFE"/>
    <w:rsid w:val="00330238"/>
    <w:rsid w:val="003937C9"/>
    <w:rsid w:val="003F2ADF"/>
    <w:rsid w:val="00556A60"/>
    <w:rsid w:val="005C0E14"/>
    <w:rsid w:val="007A0075"/>
    <w:rsid w:val="0086394F"/>
    <w:rsid w:val="008A1AE2"/>
    <w:rsid w:val="009F4D17"/>
    <w:rsid w:val="00A46F84"/>
    <w:rsid w:val="00B8334E"/>
    <w:rsid w:val="00D74906"/>
    <w:rsid w:val="00DE635B"/>
    <w:rsid w:val="00E5565B"/>
    <w:rsid w:val="00E57B1B"/>
    <w:rsid w:val="00E97E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304B"/>
  <w15:chartTrackingRefBased/>
  <w15:docId w15:val="{39F99B38-C520-4F52-ABB2-3E01AC44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37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7C9"/>
    <w:rPr>
      <w:sz w:val="20"/>
      <w:szCs w:val="20"/>
    </w:rPr>
  </w:style>
  <w:style w:type="character" w:styleId="FootnoteReference">
    <w:name w:val="footnote reference"/>
    <w:basedOn w:val="DefaultParagraphFont"/>
    <w:uiPriority w:val="99"/>
    <w:semiHidden/>
    <w:unhideWhenUsed/>
    <w:rsid w:val="00393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2</cp:revision>
  <dcterms:created xsi:type="dcterms:W3CDTF">2022-07-19T18:11:00Z</dcterms:created>
  <dcterms:modified xsi:type="dcterms:W3CDTF">2022-07-19T19:19:00Z</dcterms:modified>
</cp:coreProperties>
</file>