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F69C" w14:textId="77777777" w:rsidR="006A2F40" w:rsidRPr="006A2F40" w:rsidRDefault="006A2F40" w:rsidP="006A2F40">
      <w:pPr>
        <w:jc w:val="right"/>
        <w:rPr>
          <w:rtl/>
          <w:lang w:bidi="he-IL"/>
        </w:rPr>
      </w:pPr>
      <w:r w:rsidRPr="006A2F40">
        <w:rPr>
          <w:rFonts w:hint="cs"/>
          <w:rtl/>
          <w:lang w:bidi="he-IL"/>
        </w:rPr>
        <w:t>הרב שמואל דוב ווייס</w:t>
      </w:r>
    </w:p>
    <w:p w14:paraId="67C27EA9" w14:textId="4A417834" w:rsidR="006A2F40" w:rsidRPr="006A2F40" w:rsidRDefault="006A2F40" w:rsidP="006A2F40">
      <w:pPr>
        <w:jc w:val="center"/>
        <w:rPr>
          <w:rFonts w:cs="Arial"/>
          <w:b/>
          <w:bCs/>
          <w:sz w:val="24"/>
          <w:szCs w:val="24"/>
          <w:u w:val="single"/>
          <w:rtl/>
          <w:lang w:bidi="he-IL"/>
        </w:rPr>
      </w:pPr>
      <w:bookmarkStart w:id="0" w:name="_Hlk99977879"/>
      <w:r w:rsidRPr="006A2F40">
        <w:rPr>
          <w:rFonts w:cs="Arial" w:hint="cs"/>
          <w:b/>
          <w:bCs/>
          <w:sz w:val="26"/>
          <w:szCs w:val="26"/>
          <w:u w:val="single"/>
          <w:rtl/>
          <w:lang w:bidi="he-IL"/>
        </w:rPr>
        <w:t>'כאשר זמם' ולא כאשר עשה</w:t>
      </w:r>
      <w:r w:rsidRPr="006A2F40">
        <w:rPr>
          <w:rFonts w:cs="Arial" w:hint="cs"/>
          <w:sz w:val="28"/>
          <w:szCs w:val="28"/>
          <w:rtl/>
          <w:lang w:bidi="he-IL"/>
        </w:rPr>
        <w:t xml:space="preserve"> </w:t>
      </w:r>
      <w:r w:rsidRPr="006A2F40">
        <w:rPr>
          <w:rFonts w:cs="Arial" w:hint="cs"/>
          <w:sz w:val="24"/>
          <w:szCs w:val="24"/>
          <w:rtl/>
          <w:lang w:bidi="he-IL"/>
        </w:rPr>
        <w:t>(#</w:t>
      </w:r>
      <w:r>
        <w:rPr>
          <w:rFonts w:cs="Arial" w:hint="cs"/>
          <w:sz w:val="24"/>
          <w:szCs w:val="24"/>
          <w:rtl/>
          <w:lang w:bidi="he-IL"/>
        </w:rPr>
        <w:t>6</w:t>
      </w:r>
      <w:r w:rsidRPr="006A2F40">
        <w:rPr>
          <w:rFonts w:cs="Arial" w:hint="cs"/>
          <w:sz w:val="24"/>
          <w:szCs w:val="24"/>
          <w:rtl/>
          <w:lang w:bidi="he-IL"/>
        </w:rPr>
        <w:t>)</w:t>
      </w:r>
    </w:p>
    <w:bookmarkEnd w:id="0"/>
    <w:p w14:paraId="2B81F7E1" w14:textId="77777777" w:rsidR="006A2F40" w:rsidRPr="006A2F40" w:rsidRDefault="006A2F40" w:rsidP="006A2F40">
      <w:pPr>
        <w:jc w:val="right"/>
        <w:rPr>
          <w:rFonts w:cs="Arial"/>
          <w:u w:val="single"/>
          <w:rtl/>
          <w:lang w:bidi="he-IL"/>
        </w:rPr>
      </w:pPr>
      <w:r w:rsidRPr="006A2F40">
        <w:rPr>
          <w:rFonts w:cs="Arial" w:hint="cs"/>
          <w:u w:val="single"/>
          <w:rtl/>
          <w:lang w:bidi="he-IL"/>
        </w:rPr>
        <w:t>טעם הדין</w:t>
      </w:r>
    </w:p>
    <w:p w14:paraId="603D7E76" w14:textId="77777777" w:rsidR="006A2F40" w:rsidRPr="006A2F40" w:rsidRDefault="006A2F40" w:rsidP="006A2F40">
      <w:pPr>
        <w:jc w:val="right"/>
        <w:rPr>
          <w:rFonts w:cs="Arial"/>
          <w:rtl/>
          <w:lang w:bidi="he-IL"/>
        </w:rPr>
      </w:pPr>
      <w:r w:rsidRPr="006A2F40">
        <w:rPr>
          <w:rFonts w:cs="Arial" w:hint="cs"/>
          <w:b/>
          <w:bCs/>
          <w:rtl/>
          <w:lang w:bidi="he-IL"/>
        </w:rPr>
        <w:t xml:space="preserve">גמ' </w:t>
      </w:r>
      <w:r w:rsidRPr="006A2F40">
        <w:rPr>
          <w:rFonts w:cs="Arial" w:hint="cs"/>
          <w:rtl/>
          <w:lang w:bidi="he-IL"/>
        </w:rPr>
        <w:t xml:space="preserve">ה: ["תניא אמר רבי יהודה בן טבאי... פיוסי פייסיה"], </w:t>
      </w:r>
      <w:r w:rsidRPr="006A2F40">
        <w:rPr>
          <w:rFonts w:cs="Arial" w:hint="cs"/>
          <w:b/>
          <w:bCs/>
          <w:rtl/>
          <w:lang w:bidi="he-IL"/>
        </w:rPr>
        <w:t xml:space="preserve">רש"י </w:t>
      </w:r>
      <w:r w:rsidRPr="006A2F40">
        <w:rPr>
          <w:rFonts w:cs="Arial" w:hint="cs"/>
          <w:rtl/>
          <w:lang w:bidi="he-IL"/>
        </w:rPr>
        <w:t>שם</w:t>
      </w:r>
    </w:p>
    <w:p w14:paraId="3229699B" w14:textId="4BA144BA" w:rsidR="006A2F40" w:rsidRDefault="006A2F40" w:rsidP="006A2F40">
      <w:pPr>
        <w:jc w:val="right"/>
        <w:rPr>
          <w:rFonts w:cs="Arial"/>
          <w:rtl/>
          <w:lang w:bidi="he-IL"/>
        </w:rPr>
      </w:pPr>
      <w:r w:rsidRPr="006A2F40">
        <w:rPr>
          <w:rFonts w:cs="Arial" w:hint="cs"/>
          <w:b/>
          <w:bCs/>
          <w:rtl/>
          <w:lang w:bidi="he-IL"/>
        </w:rPr>
        <w:t xml:space="preserve">חי' הריטב"א </w:t>
      </w:r>
      <w:r w:rsidRPr="006A2F40">
        <w:rPr>
          <w:rFonts w:cs="Arial" w:hint="cs"/>
          <w:rtl/>
          <w:lang w:bidi="he-IL"/>
        </w:rPr>
        <w:t>שם (ד"ה תוספות אם לא שפחת דם נקי)</w:t>
      </w:r>
    </w:p>
    <w:p w14:paraId="04D6779B" w14:textId="7B17C503" w:rsidR="001C6BFD" w:rsidRDefault="001C6BFD" w:rsidP="006A2F40">
      <w:pPr>
        <w:jc w:val="right"/>
        <w:rPr>
          <w:rFonts w:cs="Arial"/>
          <w:rtl/>
          <w:lang w:bidi="he-IL"/>
        </w:rPr>
      </w:pPr>
      <w:r w:rsidRPr="001C6BFD">
        <w:rPr>
          <w:rFonts w:cs="Arial" w:hint="cs"/>
          <w:b/>
          <w:bCs/>
          <w:rtl/>
          <w:lang w:bidi="he-IL"/>
        </w:rPr>
        <w:t>דברים</w:t>
      </w:r>
      <w:r>
        <w:rPr>
          <w:rFonts w:cs="Arial" w:hint="cs"/>
          <w:rtl/>
          <w:lang w:bidi="he-IL"/>
        </w:rPr>
        <w:t xml:space="preserve"> (י"ט:ט"ז-כ"א), </w:t>
      </w:r>
      <w:r w:rsidRPr="001C6BFD">
        <w:rPr>
          <w:rFonts w:cs="Arial" w:hint="cs"/>
          <w:b/>
          <w:bCs/>
          <w:rtl/>
          <w:lang w:bidi="he-IL"/>
        </w:rPr>
        <w:t>רש"י</w:t>
      </w:r>
      <w:r>
        <w:rPr>
          <w:rFonts w:cs="Arial" w:hint="cs"/>
          <w:rtl/>
          <w:lang w:bidi="he-IL"/>
        </w:rPr>
        <w:t xml:space="preserve"> (שם:כ)</w:t>
      </w:r>
    </w:p>
    <w:p w14:paraId="59EE068A" w14:textId="0B5A2B1D" w:rsidR="00742443" w:rsidRPr="001C6BFD" w:rsidRDefault="00742443" w:rsidP="00742443">
      <w:pPr>
        <w:jc w:val="right"/>
        <w:rPr>
          <w:rFonts w:cs="Arial"/>
          <w:rtl/>
          <w:lang w:bidi="he-IL"/>
        </w:rPr>
      </w:pPr>
      <w:r w:rsidRPr="00742443">
        <w:rPr>
          <w:rFonts w:cs="Arial" w:hint="cs"/>
          <w:b/>
          <w:bCs/>
          <w:rtl/>
          <w:lang w:bidi="he-IL"/>
        </w:rPr>
        <w:t xml:space="preserve">גמ' </w:t>
      </w:r>
      <w:r w:rsidRPr="00742443">
        <w:rPr>
          <w:rFonts w:cs="Arial" w:hint="cs"/>
          <w:rtl/>
          <w:lang w:bidi="he-IL"/>
        </w:rPr>
        <w:t xml:space="preserve">ב: ["מעידין אנו באיש פלוני שהוא חייב... מחוורתא כדר"ל"], </w:t>
      </w:r>
      <w:r w:rsidRPr="00742443">
        <w:rPr>
          <w:rFonts w:cs="Arial" w:hint="cs"/>
          <w:b/>
          <w:bCs/>
          <w:rtl/>
          <w:lang w:bidi="he-IL"/>
        </w:rPr>
        <w:t>רש"י</w:t>
      </w:r>
      <w:r w:rsidRPr="00742443">
        <w:rPr>
          <w:rFonts w:cs="Arial" w:hint="cs"/>
          <w:rtl/>
          <w:lang w:bidi="he-IL"/>
        </w:rPr>
        <w:t xml:space="preserve"> שם</w:t>
      </w:r>
    </w:p>
    <w:p w14:paraId="3C622174" w14:textId="4D1208F1" w:rsidR="001C6BFD" w:rsidRDefault="001C6BFD" w:rsidP="001C6BFD">
      <w:pPr>
        <w:jc w:val="right"/>
        <w:rPr>
          <w:rFonts w:cs="Arial"/>
          <w:rtl/>
          <w:lang w:bidi="he-IL"/>
        </w:rPr>
      </w:pPr>
      <w:r w:rsidRPr="001C6BFD">
        <w:rPr>
          <w:rFonts w:cs="Arial" w:hint="cs"/>
          <w:b/>
          <w:bCs/>
          <w:rtl/>
          <w:lang w:bidi="he-IL"/>
        </w:rPr>
        <w:t>מאירי</w:t>
      </w:r>
      <w:r w:rsidRPr="001C6BFD">
        <w:rPr>
          <w:rFonts w:cs="Arial" w:hint="cs"/>
          <w:rtl/>
          <w:lang w:bidi="he-IL"/>
        </w:rPr>
        <w:t xml:space="preserve"> ג. (ד"ה זה שאמרו) </w:t>
      </w:r>
    </w:p>
    <w:p w14:paraId="3B01F88A" w14:textId="488AABBF" w:rsidR="001C6BFD" w:rsidRDefault="001C6BFD" w:rsidP="001C6BFD">
      <w:pPr>
        <w:jc w:val="right"/>
        <w:rPr>
          <w:rFonts w:cs="Arial"/>
          <w:rtl/>
          <w:lang w:bidi="he-IL"/>
        </w:rPr>
      </w:pPr>
      <w:r w:rsidRPr="001C6BFD">
        <w:rPr>
          <w:rFonts w:cs="Arial"/>
          <w:b/>
          <w:bCs/>
          <w:rtl/>
          <w:lang w:bidi="he-IL"/>
        </w:rPr>
        <w:t>אברבנאל</w:t>
      </w:r>
      <w:r w:rsidRPr="001C6BFD">
        <w:rPr>
          <w:rFonts w:cs="Arial"/>
          <w:rtl/>
          <w:lang w:bidi="he-IL"/>
        </w:rPr>
        <w:t xml:space="preserve"> </w:t>
      </w:r>
      <w:r>
        <w:rPr>
          <w:rFonts w:cs="Arial" w:hint="cs"/>
          <w:rtl/>
          <w:lang w:bidi="he-IL"/>
        </w:rPr>
        <w:t>דברים (פרק י"ט)</w:t>
      </w:r>
      <w:r>
        <w:rPr>
          <w:rStyle w:val="FootnoteReference"/>
          <w:rFonts w:cs="Arial"/>
          <w:rtl/>
          <w:lang w:bidi="he-IL"/>
        </w:rPr>
        <w:footnoteReference w:id="1"/>
      </w:r>
    </w:p>
    <w:p w14:paraId="0AEB9515" w14:textId="62E656CE" w:rsidR="001C6BFD" w:rsidRDefault="001C6BFD" w:rsidP="001C6BFD">
      <w:pPr>
        <w:jc w:val="right"/>
        <w:rPr>
          <w:rFonts w:cs="Arial"/>
          <w:rtl/>
          <w:lang w:bidi="he-IL"/>
        </w:rPr>
      </w:pPr>
      <w:r w:rsidRPr="001C6BFD">
        <w:rPr>
          <w:rFonts w:cs="Arial" w:hint="cs"/>
          <w:b/>
          <w:bCs/>
          <w:rtl/>
          <w:lang w:bidi="he-IL"/>
        </w:rPr>
        <w:t>פני יהושע</w:t>
      </w:r>
      <w:r>
        <w:rPr>
          <w:rFonts w:cs="Arial" w:hint="cs"/>
          <w:b/>
          <w:bCs/>
          <w:rtl/>
          <w:lang w:bidi="he-IL"/>
        </w:rPr>
        <w:t xml:space="preserve"> </w:t>
      </w:r>
      <w:r w:rsidRPr="001C6BFD">
        <w:rPr>
          <w:rFonts w:cs="Arial" w:hint="cs"/>
          <w:rtl/>
          <w:lang w:bidi="he-IL"/>
        </w:rPr>
        <w:t>ה:</w:t>
      </w:r>
      <w:r>
        <w:rPr>
          <w:rFonts w:cs="Arial" w:hint="cs"/>
          <w:rtl/>
          <w:lang w:bidi="he-IL"/>
        </w:rPr>
        <w:t xml:space="preserve"> (ד"ה עוד נראה ליישב) ["</w:t>
      </w:r>
      <w:r w:rsidR="00664976">
        <w:rPr>
          <w:rFonts w:cs="Arial" w:hint="cs"/>
          <w:rtl/>
          <w:lang w:bidi="he-IL"/>
        </w:rPr>
        <w:t>ולי</w:t>
      </w:r>
      <w:r>
        <w:rPr>
          <w:rFonts w:cs="Arial" w:hint="cs"/>
          <w:rtl/>
          <w:lang w:bidi="he-IL"/>
        </w:rPr>
        <w:t xml:space="preserve"> נראה </w:t>
      </w:r>
      <w:r w:rsidR="00664976">
        <w:rPr>
          <w:rFonts w:cs="Arial" w:hint="cs"/>
          <w:rtl/>
          <w:lang w:bidi="he-IL"/>
        </w:rPr>
        <w:t xml:space="preserve">להוסיף </w:t>
      </w:r>
      <w:r>
        <w:rPr>
          <w:rFonts w:cs="Arial" w:hint="cs"/>
          <w:rtl/>
          <w:lang w:bidi="he-IL"/>
        </w:rPr>
        <w:t>...ע"ש"]</w:t>
      </w:r>
    </w:p>
    <w:p w14:paraId="2A2BD4AE" w14:textId="32F54CEC" w:rsidR="00742443" w:rsidRDefault="00742443" w:rsidP="00742443">
      <w:pPr>
        <w:jc w:val="right"/>
        <w:rPr>
          <w:rFonts w:cs="Arial"/>
          <w:rtl/>
          <w:lang w:bidi="he-IL"/>
        </w:rPr>
      </w:pPr>
      <w:r w:rsidRPr="00742443">
        <w:rPr>
          <w:rFonts w:cs="Arial" w:hint="cs"/>
          <w:b/>
          <w:bCs/>
          <w:rtl/>
          <w:lang w:bidi="he-IL"/>
        </w:rPr>
        <w:t>כסף  משנה</w:t>
      </w:r>
      <w:r w:rsidRPr="00742443">
        <w:rPr>
          <w:rFonts w:cs="Arial" w:hint="cs"/>
          <w:rtl/>
          <w:lang w:bidi="he-IL"/>
        </w:rPr>
        <w:t xml:space="preserve"> שם (ד"ה אבל אם לקה)</w:t>
      </w:r>
      <w:r>
        <w:rPr>
          <w:rFonts w:cs="Arial" w:hint="cs"/>
          <w:rtl/>
          <w:lang w:bidi="he-IL"/>
        </w:rPr>
        <w:t xml:space="preserve"> [עד "... על פי עדותם"]</w:t>
      </w:r>
    </w:p>
    <w:p w14:paraId="0794B6CE" w14:textId="0FDBDD86" w:rsidR="00742443" w:rsidRDefault="00742443" w:rsidP="00742443">
      <w:pPr>
        <w:jc w:val="right"/>
        <w:rPr>
          <w:rFonts w:cs="Arial"/>
          <w:rtl/>
          <w:lang w:bidi="he-IL"/>
        </w:rPr>
      </w:pPr>
      <w:r w:rsidRPr="00742443">
        <w:rPr>
          <w:rFonts w:cs="Arial" w:hint="cs"/>
          <w:b/>
          <w:bCs/>
          <w:rtl/>
          <w:lang w:bidi="he-IL"/>
        </w:rPr>
        <w:t>גמ'</w:t>
      </w:r>
      <w:r>
        <w:rPr>
          <w:rFonts w:cs="Arial" w:hint="cs"/>
          <w:b/>
          <w:bCs/>
          <w:rtl/>
          <w:lang w:bidi="he-IL"/>
        </w:rPr>
        <w:t xml:space="preserve"> </w:t>
      </w:r>
      <w:r w:rsidRPr="00742443">
        <w:rPr>
          <w:rFonts w:cs="Arial" w:hint="cs"/>
          <w:rtl/>
          <w:lang w:bidi="he-IL"/>
        </w:rPr>
        <w:t>סנהדרין</w:t>
      </w:r>
      <w:r>
        <w:rPr>
          <w:rFonts w:cs="Arial" w:hint="cs"/>
          <w:rtl/>
          <w:lang w:bidi="he-IL"/>
        </w:rPr>
        <w:t xml:space="preserve"> סד: ["אמר רב אחא... ולא כל זרעך"]</w:t>
      </w:r>
      <w:r w:rsidR="00664976">
        <w:rPr>
          <w:rFonts w:cs="Arial" w:hint="cs"/>
          <w:rtl/>
          <w:lang w:bidi="he-IL"/>
        </w:rPr>
        <w:t xml:space="preserve">, </w:t>
      </w:r>
      <w:r w:rsidR="00664976">
        <w:rPr>
          <w:rFonts w:cs="Arial" w:hint="cs"/>
          <w:b/>
          <w:bCs/>
          <w:rtl/>
          <w:lang w:bidi="he-IL"/>
        </w:rPr>
        <w:t>תוספות</w:t>
      </w:r>
      <w:r w:rsidR="00664976">
        <w:rPr>
          <w:rFonts w:cs="Arial" w:hint="cs"/>
          <w:rtl/>
          <w:lang w:bidi="he-IL"/>
        </w:rPr>
        <w:t xml:space="preserve"> שם (ד"ה העביר)</w:t>
      </w:r>
    </w:p>
    <w:p w14:paraId="45D6BB0E" w14:textId="0CF1ED76" w:rsidR="00664976" w:rsidRPr="00664976" w:rsidRDefault="00664976" w:rsidP="00664976">
      <w:pPr>
        <w:jc w:val="right"/>
        <w:rPr>
          <w:rFonts w:cs="Arial"/>
          <w:lang w:bidi="he-IL"/>
        </w:rPr>
      </w:pPr>
      <w:r w:rsidRPr="00664976">
        <w:rPr>
          <w:rFonts w:cs="Arial" w:hint="cs"/>
          <w:b/>
          <w:bCs/>
          <w:rtl/>
          <w:lang w:bidi="he-IL"/>
        </w:rPr>
        <w:t>סמ"ג</w:t>
      </w:r>
      <w:r w:rsidRPr="00664976">
        <w:rPr>
          <w:rFonts w:cs="Arial"/>
          <w:rtl/>
          <w:lang w:bidi="he-IL"/>
        </w:rPr>
        <w:t xml:space="preserve"> </w:t>
      </w:r>
      <w:r>
        <w:rPr>
          <w:rFonts w:cs="Arial" w:hint="cs"/>
          <w:rtl/>
          <w:lang w:bidi="he-IL"/>
        </w:rPr>
        <w:t>(</w:t>
      </w:r>
      <w:r w:rsidRPr="00664976">
        <w:rPr>
          <w:rFonts w:cs="Arial"/>
          <w:rtl/>
          <w:lang w:bidi="he-IL"/>
        </w:rPr>
        <w:t>לאוין סימן מ</w:t>
      </w:r>
      <w:r>
        <w:rPr>
          <w:rFonts w:cs="Arial" w:hint="cs"/>
          <w:rtl/>
          <w:lang w:bidi="he-IL"/>
        </w:rPr>
        <w:t>')</w:t>
      </w:r>
      <w:r>
        <w:rPr>
          <w:rStyle w:val="FootnoteReference"/>
          <w:rFonts w:cs="Arial"/>
          <w:rtl/>
          <w:lang w:bidi="he-IL"/>
        </w:rPr>
        <w:footnoteReference w:id="2"/>
      </w:r>
    </w:p>
    <w:p w14:paraId="00CE08C5" w14:textId="49E234C9" w:rsidR="00664976" w:rsidRDefault="00664976" w:rsidP="00742443">
      <w:pPr>
        <w:jc w:val="right"/>
        <w:rPr>
          <w:rFonts w:cs="Arial"/>
          <w:rtl/>
          <w:lang w:bidi="he-IL"/>
        </w:rPr>
      </w:pPr>
      <w:r w:rsidRPr="00664976">
        <w:rPr>
          <w:rFonts w:cs="Arial" w:hint="cs"/>
          <w:b/>
          <w:bCs/>
          <w:rtl/>
          <w:lang w:bidi="he-IL"/>
        </w:rPr>
        <w:t>מהרש"א</w:t>
      </w:r>
      <w:r>
        <w:rPr>
          <w:rFonts w:cs="Arial" w:hint="cs"/>
          <w:rtl/>
          <w:lang w:bidi="he-IL"/>
        </w:rPr>
        <w:t xml:space="preserve"> סנהדרין שם (ד"ה גמרא ומזרעך ולא)</w:t>
      </w:r>
    </w:p>
    <w:p w14:paraId="07125FB4" w14:textId="608048AE" w:rsidR="00664976" w:rsidRDefault="00664976" w:rsidP="00664976">
      <w:pPr>
        <w:jc w:val="right"/>
        <w:rPr>
          <w:rFonts w:cs="Arial"/>
          <w:lang w:bidi="he-IL"/>
        </w:rPr>
      </w:pPr>
      <w:r w:rsidRPr="00664976">
        <w:rPr>
          <w:rFonts w:cs="Arial"/>
          <w:b/>
          <w:bCs/>
          <w:rtl/>
          <w:lang w:bidi="he-IL"/>
        </w:rPr>
        <w:t xml:space="preserve">רבינו בחיי </w:t>
      </w:r>
      <w:r w:rsidRPr="00664976">
        <w:rPr>
          <w:rFonts w:cs="Arial"/>
          <w:rtl/>
          <w:lang w:bidi="he-IL"/>
        </w:rPr>
        <w:t xml:space="preserve">דברים </w:t>
      </w:r>
      <w:r w:rsidR="00923732">
        <w:rPr>
          <w:rFonts w:cs="Arial" w:hint="cs"/>
          <w:rtl/>
          <w:lang w:bidi="he-IL"/>
        </w:rPr>
        <w:t>(</w:t>
      </w:r>
      <w:r w:rsidRPr="00664976">
        <w:rPr>
          <w:rFonts w:cs="Arial"/>
          <w:rtl/>
          <w:lang w:bidi="he-IL"/>
        </w:rPr>
        <w:t>פרק יט פסוק יט</w:t>
      </w:r>
      <w:r w:rsidR="00923732">
        <w:rPr>
          <w:rFonts w:cs="Arial" w:hint="cs"/>
          <w:rtl/>
          <w:lang w:bidi="he-IL"/>
        </w:rPr>
        <w:t>) [בשם הר"י]</w:t>
      </w:r>
      <w:r w:rsidR="00923732">
        <w:rPr>
          <w:rStyle w:val="FootnoteReference"/>
          <w:rFonts w:cs="Arial"/>
          <w:rtl/>
          <w:lang w:bidi="he-IL"/>
        </w:rPr>
        <w:footnoteReference w:id="3"/>
      </w:r>
    </w:p>
    <w:p w14:paraId="34712516" w14:textId="035D75A7" w:rsidR="00923732" w:rsidRPr="00664976" w:rsidRDefault="00923732" w:rsidP="00664976">
      <w:pPr>
        <w:jc w:val="right"/>
        <w:rPr>
          <w:rFonts w:cs="Arial" w:hint="cs"/>
          <w:rtl/>
          <w:lang w:bidi="he-IL"/>
        </w:rPr>
      </w:pPr>
      <w:r w:rsidRPr="00923732">
        <w:rPr>
          <w:rFonts w:cs="Arial" w:hint="cs"/>
          <w:b/>
          <w:bCs/>
          <w:rtl/>
          <w:lang w:bidi="he-IL"/>
        </w:rPr>
        <w:t>רדב"ז</w:t>
      </w:r>
      <w:r>
        <w:rPr>
          <w:rFonts w:cs="Arial" w:hint="cs"/>
          <w:b/>
          <w:bCs/>
          <w:rtl/>
          <w:lang w:bidi="he-IL"/>
        </w:rPr>
        <w:t xml:space="preserve"> </w:t>
      </w:r>
      <w:r>
        <w:rPr>
          <w:rFonts w:cs="Arial" w:hint="cs"/>
          <w:rtl/>
          <w:lang w:bidi="he-IL"/>
        </w:rPr>
        <w:t>הל' עדות כ:ב (ד"ה נהרג זה) [עד "... לא ביאר טעמו"]</w:t>
      </w:r>
      <w:r>
        <w:rPr>
          <w:rStyle w:val="FootnoteReference"/>
          <w:rFonts w:cs="Arial"/>
          <w:rtl/>
          <w:lang w:bidi="he-IL"/>
        </w:rPr>
        <w:footnoteReference w:id="4"/>
      </w:r>
    </w:p>
    <w:p w14:paraId="060FE3D5" w14:textId="77777777" w:rsidR="00664976" w:rsidRPr="00664976" w:rsidRDefault="00664976" w:rsidP="00742443">
      <w:pPr>
        <w:jc w:val="right"/>
        <w:rPr>
          <w:rFonts w:cs="Arial"/>
          <w:rtl/>
          <w:lang w:bidi="he-IL"/>
        </w:rPr>
      </w:pPr>
    </w:p>
    <w:p w14:paraId="47EDF2B9" w14:textId="77777777" w:rsidR="001C6BFD" w:rsidRDefault="001C6BFD" w:rsidP="001C6BFD">
      <w:pPr>
        <w:jc w:val="right"/>
        <w:rPr>
          <w:rFonts w:cs="Arial"/>
          <w:rtl/>
          <w:lang w:bidi="he-IL"/>
        </w:rPr>
      </w:pPr>
    </w:p>
    <w:p w14:paraId="05130FFA" w14:textId="77777777" w:rsidR="001C6BFD" w:rsidRPr="001C6BFD" w:rsidRDefault="001C6BFD" w:rsidP="001C6BFD">
      <w:pPr>
        <w:jc w:val="right"/>
        <w:rPr>
          <w:rFonts w:cs="Arial"/>
          <w:u w:val="single"/>
        </w:rPr>
      </w:pPr>
      <w:r w:rsidRPr="001C6BFD">
        <w:rPr>
          <w:rFonts w:cs="Arial"/>
          <w:u w:val="single"/>
          <w:rtl/>
          <w:lang w:bidi="he-IL"/>
        </w:rPr>
        <w:t>אברבנאל פרשת שופטים</w:t>
      </w:r>
    </w:p>
    <w:p w14:paraId="4758A29E" w14:textId="4F5B7053" w:rsidR="001C6BFD" w:rsidRPr="001C6BFD" w:rsidRDefault="001C6BFD" w:rsidP="001C6BFD">
      <w:pPr>
        <w:jc w:val="right"/>
        <w:rPr>
          <w:rFonts w:cs="Arial" w:hint="cs"/>
          <w:rtl/>
          <w:lang w:bidi="he-IL"/>
        </w:rPr>
      </w:pPr>
      <w:r w:rsidRPr="001C6BFD">
        <w:rPr>
          <w:rFonts w:cs="Arial"/>
          <w:rtl/>
          <w:lang w:bidi="he-IL"/>
        </w:rPr>
        <w:t>ואמנם מה שבא בקבלתם ז"ל (מכות שם דף ו') ועשיתם לו כאשר זמם ולא כאשר עשה ומכאן אמרו שאם הרגו אין נהרגין, היה הסבה בזה לפי שאל</w:t>
      </w:r>
      <w:r w:rsidR="00923732">
        <w:rPr>
          <w:rFonts w:cs="Arial" w:hint="cs"/>
          <w:rtl/>
          <w:lang w:bidi="he-IL"/>
        </w:rPr>
        <w:t>ק</w:t>
      </w:r>
      <w:r w:rsidRPr="001C6BFD">
        <w:rPr>
          <w:rFonts w:cs="Arial"/>
          <w:rtl/>
          <w:lang w:bidi="he-IL"/>
        </w:rPr>
        <w:t>ים נצב בעדת אל בקרב אל</w:t>
      </w:r>
      <w:r w:rsidR="00923732">
        <w:rPr>
          <w:rFonts w:cs="Arial" w:hint="cs"/>
          <w:rtl/>
          <w:lang w:bidi="he-IL"/>
        </w:rPr>
        <w:t>ק</w:t>
      </w:r>
      <w:r w:rsidRPr="001C6BFD">
        <w:rPr>
          <w:rFonts w:cs="Arial"/>
          <w:rtl/>
          <w:lang w:bidi="he-IL"/>
        </w:rPr>
        <w:t>ים ישפוט (תהלים כ"ח ח') ושופטי ישראל היתה שכינה שרויה ביניהם וממנו משפטם יצא, כמו שאמר (פ' משפטים) כי לא אצדיק רשע, ואמר שלמה ע"ה בכיוצא בזה (משלי כא) פלגי מים לב ביד מלך ה' לכל אשר יחפוץ יטנו, מורה שהמשפט מהשם יתברך ולכן אמר אליהו (איוב ל"ד) ממלוך אדם חנף ממוקשי עם כי אל א</w:t>
      </w:r>
      <w:r w:rsidR="00923732">
        <w:rPr>
          <w:rFonts w:cs="Arial" w:hint="cs"/>
          <w:rtl/>
          <w:lang w:bidi="he-IL"/>
        </w:rPr>
        <w:t>-</w:t>
      </w:r>
      <w:r w:rsidRPr="001C6BFD">
        <w:rPr>
          <w:rFonts w:cs="Arial"/>
          <w:rtl/>
          <w:lang w:bidi="he-IL"/>
        </w:rPr>
        <w:t>ל האמר נשאתי לא אחבול, לפי שהשופט שלוחו של הקדוש ברוך הוא לעשות רצונו, אין ראוי לחשוב שמה שעשה היה בטעות אבל שאותו שמת ראוי היה לאותה מיתה באמת והעדים שהעידו עליו צדקו דבריהם, שאם לא היה כן הא</w:t>
      </w:r>
      <w:r w:rsidR="00923732">
        <w:rPr>
          <w:rFonts w:cs="Arial" w:hint="cs"/>
          <w:rtl/>
          <w:lang w:bidi="he-IL"/>
        </w:rPr>
        <w:t>-</w:t>
      </w:r>
      <w:r w:rsidRPr="001C6BFD">
        <w:rPr>
          <w:rFonts w:cs="Arial"/>
          <w:rtl/>
          <w:lang w:bidi="he-IL"/>
        </w:rPr>
        <w:t>ל יתברך לא ירשיענו בהשפטו ולא יתן השם יתברך לשופטים הצדיקים העומדים לפניו לשפוך דם נקי כי המשפט לאל</w:t>
      </w:r>
      <w:r w:rsidR="00923732">
        <w:rPr>
          <w:rFonts w:cs="Arial" w:hint="cs"/>
          <w:rtl/>
          <w:lang w:bidi="he-IL"/>
        </w:rPr>
        <w:t>ק</w:t>
      </w:r>
      <w:r w:rsidRPr="001C6BFD">
        <w:rPr>
          <w:rFonts w:cs="Arial"/>
          <w:rtl/>
          <w:lang w:bidi="he-IL"/>
        </w:rPr>
        <w:t>ים הוא, ולזה אמר ועמדו שני האנשים אשר להם הריב לפני ה' כי בבואם לפני הכהנים והשופטים הנה הם לפני ה</w:t>
      </w:r>
      <w:r w:rsidR="00664976">
        <w:rPr>
          <w:rFonts w:cs="Arial" w:hint="cs"/>
          <w:rtl/>
          <w:lang w:bidi="he-IL"/>
        </w:rPr>
        <w:t>':</w:t>
      </w:r>
    </w:p>
    <w:p w14:paraId="1867471C" w14:textId="7C831841" w:rsidR="001C6BFD" w:rsidRDefault="001C6BFD" w:rsidP="00923732">
      <w:pPr>
        <w:ind w:left="-90"/>
        <w:jc w:val="right"/>
        <w:rPr>
          <w:rFonts w:cs="Arial"/>
          <w:rtl/>
          <w:lang w:bidi="he-IL"/>
        </w:rPr>
      </w:pPr>
      <w:r w:rsidRPr="001C6BFD">
        <w:rPr>
          <w:rFonts w:cs="Arial"/>
          <w:rtl/>
          <w:lang w:bidi="he-IL"/>
        </w:rPr>
        <w:t xml:space="preserve">ויש בזה גם כן סבה שנית והיא שרצה השם יתברך לחוס על כבוד ב"ד כי איך יחל ויתפרסם קלונם לעיני השמש שיאמרו כל העם שדנו איש אחד להריגה או לעונש בהפך האמת וכדי בזיון וקצף, ולא יהיה כח ביד ב"ד עוד יפה בעיני העם ויפרקו עול מוראם מעליהם, ויבא מזה נזק גדול אל כללות התורה והמצות לפי שהיו נזקקין להכריז </w:t>
      </w:r>
      <w:r w:rsidRPr="001C6BFD">
        <w:rPr>
          <w:rFonts w:cs="Arial"/>
          <w:rtl/>
          <w:lang w:bidi="he-IL"/>
        </w:rPr>
        <w:lastRenderedPageBreak/>
        <w:t>ביניהם הני גברי מתקטלין מפני שהטעו ב"ד להרוג את הנפש שלא כדין, מה שיהיה בהפך כאשר יהיו מומתים בדין כאשר יכריזו שהם מומתים על שהם בקשו להטעות את החכמים ולא עלה בידם מפני גודל חריפותם וחריצותם להוציא הדין לאמתו, וכבר העיר על הסבה הזאת הרב ר' חסדאי בארבעים ושלשה מספרו, ולהיות ענין העדים הזוממין חמור וקשה אמר ולא תחוס עינך עליו, רוצה לומר אל תאמר בלבבך כיון שלא יצא לפעל עדותם למה יענשו העדים, לא תעשה כן אבל תענישם כאשר זממו להעניש חברם נפש תחת נפש, והיה זה אם נתחייב מיתה בעדותו שימותו גם כן העדים על כל פנים, וכן אם יתחייבו בעדותם אבר מהאברים אשר החיוב הוא ממון לשלם דמי האבר ככה יתחייבו העדים לזה ממון גם כן וככה בדיני ממונות, הנה התבארו הכתובים, והותר בזה הספק הכ"א</w:t>
      </w:r>
      <w:r w:rsidR="00664976">
        <w:rPr>
          <w:rFonts w:cs="Arial" w:hint="cs"/>
          <w:rtl/>
          <w:lang w:bidi="he-IL"/>
        </w:rPr>
        <w:t>:</w:t>
      </w:r>
    </w:p>
    <w:p w14:paraId="533CBDF4" w14:textId="77777777" w:rsidR="00664976" w:rsidRPr="00664976" w:rsidRDefault="00664976" w:rsidP="00664976">
      <w:pPr>
        <w:jc w:val="right"/>
        <w:rPr>
          <w:rFonts w:cs="Arial"/>
          <w:u w:val="single"/>
        </w:rPr>
      </w:pPr>
      <w:r w:rsidRPr="00664976">
        <w:rPr>
          <w:rFonts w:cs="Arial"/>
          <w:u w:val="single"/>
          <w:rtl/>
          <w:lang w:bidi="he-IL"/>
        </w:rPr>
        <w:t>ספר מצוות גדול לאוין סימן מ</w:t>
      </w:r>
    </w:p>
    <w:p w14:paraId="46A13DAD" w14:textId="257D102C" w:rsidR="006A2F40" w:rsidRPr="00664976" w:rsidRDefault="00664976" w:rsidP="00664976">
      <w:pPr>
        <w:jc w:val="right"/>
        <w:rPr>
          <w:rFonts w:cs="Arial"/>
          <w:rtl/>
          <w:lang w:bidi="he-IL"/>
        </w:rPr>
      </w:pPr>
      <w:r w:rsidRPr="00664976">
        <w:rPr>
          <w:rFonts w:cs="Arial"/>
          <w:rtl/>
          <w:lang w:bidi="he-IL"/>
        </w:rPr>
        <w:t xml:space="preserve">שלא להעביר מזרעו למולך, שנאמר (ויקרא יח, כא) ומזרעך לא תתן להעביר למולך ולהלן (דברים יח, י) הוא אומר לא ימצא בך מעביר בנו ובתו באש, כיצד היו עושים מדליק אש גדולה ולוקח מקצת זרעו ומוסרו לכומרין עובדים האש ואותן הכומרים נותנין הבן לאביו אחרי שנמסר להם להעבירו באש ברשותם, ואבי הבן הוא שמעביר בנו או בתו על האש ברשות הכומרין ומעביר אותו מצד זה לצד \זה\ [אחר] בתוך השלהבת </w:t>
      </w:r>
      <w:r>
        <w:rPr>
          <w:rFonts w:cs="Arial" w:hint="cs"/>
          <w:rtl/>
          <w:lang w:bidi="he-IL"/>
        </w:rPr>
        <w:t>...</w:t>
      </w:r>
      <w:r w:rsidRPr="00664976">
        <w:rPr>
          <w:rFonts w:cs="Arial"/>
          <w:rtl/>
          <w:lang w:bidi="he-IL"/>
        </w:rPr>
        <w:t xml:space="preserve"> ולא היו שורפין את בניהם כלל למולך מדתניא המעביר עצמו למולך פטור (רש"י ד"ה שרגא). ועוד תניא (שם) העביר כל זרעו פטור שנאמר (ויקרא כ, ג) כי מזרעו נתן למולך מקצת זרעו ולא כל זרעו, ויש טעם בזה לתשובת המינים מפני שבמיתת ב"ד מתכפרין המומתין וזה עשה כל כך עבירה גדולה שאין הקדוש ברוך הוא רוצה שיהא לו שום כפרה, ומטעם זה אני אומר שנסתפק משה במברך את השם שמא פטור הוא ממיתת ב"ד (סנהדרין עח, ב) אף על פי שאפילו מקלל אביו ואמו הוא בסקילה החמורה יותר מכל המיתות</w:t>
      </w:r>
      <w:r>
        <w:rPr>
          <w:rFonts w:cs="Arial" w:hint="cs"/>
          <w:rtl/>
          <w:lang w:bidi="he-IL"/>
        </w:rPr>
        <w:t>.</w:t>
      </w:r>
    </w:p>
    <w:p w14:paraId="35ABE552" w14:textId="77777777" w:rsidR="006A2F40" w:rsidRPr="006A2F40" w:rsidRDefault="006A2F40" w:rsidP="006A2F40">
      <w:pPr>
        <w:jc w:val="right"/>
        <w:rPr>
          <w:rFonts w:cs="Arial"/>
          <w:u w:val="single"/>
          <w:lang w:bidi="he-IL"/>
        </w:rPr>
      </w:pPr>
      <w:r w:rsidRPr="006A2F40">
        <w:rPr>
          <w:rFonts w:cs="Arial"/>
          <w:u w:val="single"/>
          <w:rtl/>
          <w:lang w:bidi="he-IL"/>
        </w:rPr>
        <w:t>רבינו בחיי דברים פרשת שופטים פרק יט פסוק יט</w:t>
      </w:r>
    </w:p>
    <w:p w14:paraId="1E8940D9" w14:textId="77777777" w:rsidR="006A2F40" w:rsidRPr="006A2F40" w:rsidRDefault="006A2F40" w:rsidP="006A2F40">
      <w:pPr>
        <w:jc w:val="right"/>
        <w:rPr>
          <w:rFonts w:cs="Arial"/>
          <w:lang w:bidi="he-IL"/>
        </w:rPr>
      </w:pPr>
      <w:r w:rsidRPr="006A2F40">
        <w:rPr>
          <w:rFonts w:cs="Arial"/>
          <w:rtl/>
          <w:lang w:bidi="he-IL"/>
        </w:rPr>
        <w:t>ובשם הר"י ז"ל מפרש שטעם הרגו אין נהרגין, כלומר הרגו הסנהדרין אין נהרגין, משום דאוקי תרי לבהדי תרי, שנים אחרונים המזימין לשנים ראשונים, לא הרגו נהרגין, לפי שהרי יש כאן שלשה: שני עדים אחרונים המזימין, ובעל דבר ג"כ שהוא מכחיש את הראשונים, ולכך נהרגין שנים הראשונים ששלשה יש כנגדם</w:t>
      </w:r>
      <w:r w:rsidRPr="006A2F40">
        <w:rPr>
          <w:rFonts w:cs="Arial" w:hint="cs"/>
          <w:rtl/>
          <w:lang w:bidi="he-IL"/>
        </w:rPr>
        <w:t>.</w:t>
      </w:r>
    </w:p>
    <w:p w14:paraId="3CC43348" w14:textId="77777777" w:rsidR="006A2F40" w:rsidRPr="006A2F40" w:rsidRDefault="006A2F40" w:rsidP="006A2F40">
      <w:pPr>
        <w:jc w:val="right"/>
        <w:rPr>
          <w:rFonts w:cs="Arial"/>
          <w:b/>
          <w:bCs/>
          <w:lang w:bidi="he-IL"/>
        </w:rPr>
      </w:pPr>
    </w:p>
    <w:p w14:paraId="09E99CDF" w14:textId="77777777" w:rsidR="008530F9" w:rsidRDefault="00000000"/>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B461" w14:textId="77777777" w:rsidR="00AA45E6" w:rsidRDefault="00AA45E6" w:rsidP="001C6BFD">
      <w:pPr>
        <w:spacing w:after="0" w:line="240" w:lineRule="auto"/>
      </w:pPr>
      <w:r>
        <w:separator/>
      </w:r>
    </w:p>
  </w:endnote>
  <w:endnote w:type="continuationSeparator" w:id="0">
    <w:p w14:paraId="28474FD7" w14:textId="77777777" w:rsidR="00AA45E6" w:rsidRDefault="00AA45E6" w:rsidP="001C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ECB7" w14:textId="77777777" w:rsidR="00AA45E6" w:rsidRDefault="00AA45E6" w:rsidP="001C6BFD">
      <w:pPr>
        <w:spacing w:after="0" w:line="240" w:lineRule="auto"/>
      </w:pPr>
      <w:r>
        <w:separator/>
      </w:r>
    </w:p>
  </w:footnote>
  <w:footnote w:type="continuationSeparator" w:id="0">
    <w:p w14:paraId="0802AD0F" w14:textId="77777777" w:rsidR="00AA45E6" w:rsidRDefault="00AA45E6" w:rsidP="001C6BFD">
      <w:pPr>
        <w:spacing w:after="0" w:line="240" w:lineRule="auto"/>
      </w:pPr>
      <w:r>
        <w:continuationSeparator/>
      </w:r>
    </w:p>
  </w:footnote>
  <w:footnote w:id="1">
    <w:p w14:paraId="1711DE8E" w14:textId="4FF6D6F5" w:rsidR="001C6BFD" w:rsidRPr="001C6BFD" w:rsidRDefault="001C6BFD">
      <w:pPr>
        <w:pStyle w:val="FootnoteText"/>
        <w:rPr>
          <w:sz w:val="16"/>
          <w:szCs w:val="16"/>
          <w:lang w:bidi="he-IL"/>
        </w:rPr>
      </w:pPr>
      <w:r w:rsidRPr="001C6BFD">
        <w:rPr>
          <w:rStyle w:val="FootnoteReference"/>
          <w:sz w:val="16"/>
          <w:szCs w:val="16"/>
        </w:rPr>
        <w:footnoteRef/>
      </w:r>
      <w:r w:rsidRPr="001C6BFD">
        <w:rPr>
          <w:sz w:val="16"/>
          <w:szCs w:val="16"/>
        </w:rPr>
        <w:t xml:space="preserve"> </w:t>
      </w:r>
      <w:r w:rsidRPr="001C6BFD">
        <w:rPr>
          <w:sz w:val="16"/>
          <w:szCs w:val="16"/>
          <w:lang w:bidi="he-IL"/>
        </w:rPr>
        <w:t xml:space="preserve">See below </w:t>
      </w:r>
    </w:p>
  </w:footnote>
  <w:footnote w:id="2">
    <w:p w14:paraId="382F8F6D" w14:textId="2E524C91" w:rsidR="00664976" w:rsidRPr="00664976" w:rsidRDefault="00664976">
      <w:pPr>
        <w:pStyle w:val="FootnoteText"/>
        <w:rPr>
          <w:sz w:val="16"/>
          <w:szCs w:val="16"/>
          <w:lang w:bidi="he-IL"/>
        </w:rPr>
      </w:pPr>
      <w:r w:rsidRPr="00664976">
        <w:rPr>
          <w:rStyle w:val="FootnoteReference"/>
          <w:sz w:val="16"/>
          <w:szCs w:val="16"/>
        </w:rPr>
        <w:footnoteRef/>
      </w:r>
      <w:r w:rsidRPr="00664976">
        <w:rPr>
          <w:sz w:val="16"/>
          <w:szCs w:val="16"/>
        </w:rPr>
        <w:t xml:space="preserve"> </w:t>
      </w:r>
      <w:r w:rsidRPr="00664976">
        <w:rPr>
          <w:sz w:val="16"/>
          <w:szCs w:val="16"/>
          <w:lang w:bidi="he-IL"/>
        </w:rPr>
        <w:t>See below</w:t>
      </w:r>
    </w:p>
  </w:footnote>
  <w:footnote w:id="3">
    <w:p w14:paraId="50C3122C" w14:textId="424EC705" w:rsidR="00923732" w:rsidRPr="00923732" w:rsidRDefault="00923732">
      <w:pPr>
        <w:pStyle w:val="FootnoteText"/>
        <w:rPr>
          <w:rFonts w:hint="cs"/>
          <w:sz w:val="16"/>
          <w:szCs w:val="16"/>
          <w:lang w:bidi="he-IL"/>
        </w:rPr>
      </w:pPr>
      <w:r w:rsidRPr="00923732">
        <w:rPr>
          <w:rStyle w:val="FootnoteReference"/>
          <w:sz w:val="16"/>
          <w:szCs w:val="16"/>
        </w:rPr>
        <w:footnoteRef/>
      </w:r>
      <w:r w:rsidRPr="00923732">
        <w:rPr>
          <w:sz w:val="16"/>
          <w:szCs w:val="16"/>
        </w:rPr>
        <w:t xml:space="preserve"> </w:t>
      </w:r>
      <w:r w:rsidRPr="00923732">
        <w:rPr>
          <w:sz w:val="16"/>
          <w:szCs w:val="16"/>
          <w:lang w:bidi="he-IL"/>
        </w:rPr>
        <w:t>See below</w:t>
      </w:r>
      <w:r w:rsidR="00456EDE">
        <w:rPr>
          <w:sz w:val="16"/>
          <w:szCs w:val="16"/>
          <w:lang w:bidi="he-IL"/>
        </w:rPr>
        <w:t xml:space="preserve">.  What are the difficulties with the </w:t>
      </w:r>
      <w:r w:rsidR="00456EDE">
        <w:rPr>
          <w:rFonts w:hint="cs"/>
          <w:sz w:val="16"/>
          <w:szCs w:val="16"/>
          <w:rtl/>
          <w:lang w:bidi="he-IL"/>
        </w:rPr>
        <w:t>טעם</w:t>
      </w:r>
      <w:r w:rsidR="00456EDE">
        <w:rPr>
          <w:sz w:val="16"/>
          <w:szCs w:val="16"/>
          <w:lang w:bidi="he-IL"/>
        </w:rPr>
        <w:t xml:space="preserve"> presented by the </w:t>
      </w:r>
      <w:r w:rsidR="00456EDE">
        <w:rPr>
          <w:rFonts w:hint="cs"/>
          <w:sz w:val="16"/>
          <w:szCs w:val="16"/>
          <w:rtl/>
          <w:lang w:bidi="he-IL"/>
        </w:rPr>
        <w:t>ר"י</w:t>
      </w:r>
      <w:r w:rsidR="00456EDE">
        <w:rPr>
          <w:sz w:val="16"/>
          <w:szCs w:val="16"/>
          <w:lang w:bidi="he-IL"/>
        </w:rPr>
        <w:t>?</w:t>
      </w:r>
    </w:p>
  </w:footnote>
  <w:footnote w:id="4">
    <w:p w14:paraId="33773513" w14:textId="047027EB" w:rsidR="00923732" w:rsidRPr="00923732" w:rsidRDefault="00923732">
      <w:pPr>
        <w:pStyle w:val="FootnoteText"/>
        <w:rPr>
          <w:rFonts w:hint="cs"/>
          <w:sz w:val="16"/>
          <w:szCs w:val="16"/>
          <w:lang w:bidi="he-IL"/>
        </w:rPr>
      </w:pPr>
      <w:r w:rsidRPr="00923732">
        <w:rPr>
          <w:rStyle w:val="FootnoteReference"/>
          <w:sz w:val="16"/>
          <w:szCs w:val="16"/>
        </w:rPr>
        <w:footnoteRef/>
      </w:r>
      <w:r w:rsidRPr="00923732">
        <w:rPr>
          <w:sz w:val="16"/>
          <w:szCs w:val="16"/>
        </w:rPr>
        <w:t xml:space="preserve"> Think about how the different </w:t>
      </w:r>
      <w:r w:rsidRPr="00923732">
        <w:rPr>
          <w:sz w:val="16"/>
          <w:szCs w:val="16"/>
          <w:lang w:bidi="he-IL"/>
        </w:rPr>
        <w:t xml:space="preserve">approaches to the </w:t>
      </w:r>
      <w:r w:rsidRPr="00923732">
        <w:rPr>
          <w:rFonts w:hint="cs"/>
          <w:sz w:val="16"/>
          <w:szCs w:val="16"/>
          <w:rtl/>
          <w:lang w:bidi="he-IL"/>
        </w:rPr>
        <w:t>טעם</w:t>
      </w:r>
      <w:r w:rsidRPr="00923732">
        <w:rPr>
          <w:sz w:val="16"/>
          <w:szCs w:val="16"/>
          <w:lang w:bidi="he-IL"/>
        </w:rPr>
        <w:t xml:space="preserve"> of </w:t>
      </w:r>
      <w:r w:rsidRPr="00923732">
        <w:rPr>
          <w:rFonts w:hint="cs"/>
          <w:sz w:val="16"/>
          <w:szCs w:val="16"/>
          <w:rtl/>
          <w:lang w:bidi="he-IL"/>
        </w:rPr>
        <w:t>כאשר עשה</w:t>
      </w:r>
      <w:r w:rsidRPr="00923732">
        <w:rPr>
          <w:sz w:val="16"/>
          <w:szCs w:val="16"/>
          <w:lang w:bidi="he-IL"/>
        </w:rPr>
        <w:t xml:space="preserve"> will impact the </w:t>
      </w:r>
      <w:r w:rsidRPr="00923732">
        <w:rPr>
          <w:rFonts w:hint="cs"/>
          <w:sz w:val="16"/>
          <w:szCs w:val="16"/>
          <w:rtl/>
          <w:lang w:bidi="he-IL"/>
        </w:rPr>
        <w:t>נ"מ</w:t>
      </w:r>
      <w:r w:rsidRPr="00923732">
        <w:rPr>
          <w:sz w:val="16"/>
          <w:szCs w:val="16"/>
          <w:lang w:bidi="he-IL"/>
        </w:rPr>
        <w:t xml:space="preserve"> of whether the </w:t>
      </w:r>
      <w:r w:rsidRPr="00923732">
        <w:rPr>
          <w:rFonts w:hint="cs"/>
          <w:sz w:val="16"/>
          <w:szCs w:val="16"/>
          <w:rtl/>
          <w:lang w:bidi="he-IL"/>
        </w:rPr>
        <w:t>עדים זוממים</w:t>
      </w:r>
      <w:r w:rsidRPr="00923732">
        <w:rPr>
          <w:sz w:val="16"/>
          <w:szCs w:val="16"/>
          <w:lang w:bidi="he-IL"/>
        </w:rPr>
        <w:t xml:space="preserve"> will be subject to </w:t>
      </w:r>
      <w:r w:rsidRPr="00923732">
        <w:rPr>
          <w:rStyle w:val="PageNumber"/>
          <w:rFonts w:hint="cs"/>
          <w:sz w:val="16"/>
          <w:szCs w:val="16"/>
          <w:rtl/>
          <w:lang w:bidi="he-IL"/>
        </w:rPr>
        <w:t>פסול</w:t>
      </w:r>
      <w:r>
        <w:rPr>
          <w:rStyle w:val="PageNumber"/>
          <w:rFonts w:hint="cs"/>
          <w:sz w:val="16"/>
          <w:szCs w:val="16"/>
          <w:rtl/>
          <w:lang w:bidi="he-IL"/>
        </w:rPr>
        <w:t>י</w:t>
      </w:r>
      <w:r w:rsidRPr="00923732">
        <w:rPr>
          <w:rStyle w:val="PageNumber"/>
          <w:rFonts w:hint="cs"/>
          <w:sz w:val="16"/>
          <w:szCs w:val="16"/>
          <w:rtl/>
          <w:lang w:bidi="he-IL"/>
        </w:rPr>
        <w:t xml:space="preserve"> עדות</w:t>
      </w:r>
      <w:r w:rsidRPr="00923732">
        <w:rPr>
          <w:rStyle w:val="PageNumber"/>
          <w:sz w:val="16"/>
          <w:szCs w:val="16"/>
          <w:lang w:bidi="he-IL"/>
        </w:rPr>
        <w:t xml:space="preserve"> in the case of </w:t>
      </w:r>
      <w:r w:rsidRPr="00923732">
        <w:rPr>
          <w:rStyle w:val="PageNumber"/>
          <w:rFonts w:hint="cs"/>
          <w:sz w:val="16"/>
          <w:szCs w:val="16"/>
          <w:rtl/>
          <w:lang w:bidi="he-IL"/>
        </w:rPr>
        <w:t>כאשר עשה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40"/>
    <w:rsid w:val="001C6BFD"/>
    <w:rsid w:val="00456EDE"/>
    <w:rsid w:val="00664976"/>
    <w:rsid w:val="006A2F40"/>
    <w:rsid w:val="00742443"/>
    <w:rsid w:val="008A1AE2"/>
    <w:rsid w:val="00923732"/>
    <w:rsid w:val="00A46F84"/>
    <w:rsid w:val="00AA4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94E6"/>
  <w15:chartTrackingRefBased/>
  <w15:docId w15:val="{6D5472AA-2FA7-4CC7-B5FD-25F4FDBA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BFD"/>
    <w:rPr>
      <w:sz w:val="20"/>
      <w:szCs w:val="20"/>
    </w:rPr>
  </w:style>
  <w:style w:type="character" w:styleId="FootnoteReference">
    <w:name w:val="footnote reference"/>
    <w:basedOn w:val="DefaultParagraphFont"/>
    <w:uiPriority w:val="99"/>
    <w:semiHidden/>
    <w:unhideWhenUsed/>
    <w:rsid w:val="001C6BFD"/>
    <w:rPr>
      <w:vertAlign w:val="superscript"/>
    </w:rPr>
  </w:style>
  <w:style w:type="paragraph" w:styleId="Footer">
    <w:name w:val="footer"/>
    <w:basedOn w:val="Normal"/>
    <w:link w:val="FooterChar"/>
    <w:uiPriority w:val="99"/>
    <w:semiHidden/>
    <w:unhideWhenUsed/>
    <w:rsid w:val="009237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732"/>
  </w:style>
  <w:style w:type="character" w:styleId="PageNumber">
    <w:name w:val="page number"/>
    <w:basedOn w:val="DefaultParagraphFont"/>
    <w:uiPriority w:val="99"/>
    <w:semiHidden/>
    <w:unhideWhenUsed/>
    <w:rsid w:val="0092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2022-07-21T18:04:00Z</dcterms:created>
  <dcterms:modified xsi:type="dcterms:W3CDTF">2022-07-21T18:54:00Z</dcterms:modified>
</cp:coreProperties>
</file>