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1F5B" w14:textId="77777777" w:rsidR="00621D12" w:rsidRPr="00621D12" w:rsidRDefault="00621D12" w:rsidP="00621D12">
      <w:pPr>
        <w:jc w:val="right"/>
        <w:rPr>
          <w:rtl/>
          <w:lang w:bidi="he-IL"/>
        </w:rPr>
      </w:pPr>
      <w:r w:rsidRPr="00621D12">
        <w:rPr>
          <w:rFonts w:hint="cs"/>
          <w:rtl/>
          <w:lang w:bidi="he-IL"/>
        </w:rPr>
        <w:t>הרב שמואל דוב ווייס</w:t>
      </w:r>
    </w:p>
    <w:p w14:paraId="3AE8D939" w14:textId="1FF88FA1" w:rsidR="00621D12" w:rsidRPr="00621D12" w:rsidRDefault="00621D12" w:rsidP="00621D12">
      <w:pPr>
        <w:jc w:val="center"/>
        <w:rPr>
          <w:rFonts w:cs="Arial"/>
          <w:b/>
          <w:bCs/>
          <w:sz w:val="24"/>
          <w:szCs w:val="24"/>
          <w:u w:val="single"/>
          <w:rtl/>
          <w:lang w:bidi="he-IL"/>
        </w:rPr>
      </w:pPr>
      <w:bookmarkStart w:id="0" w:name="_Hlk99977879"/>
      <w:r w:rsidRPr="00621D12">
        <w:rPr>
          <w:rFonts w:cs="Arial" w:hint="cs"/>
          <w:b/>
          <w:bCs/>
          <w:sz w:val="26"/>
          <w:szCs w:val="26"/>
          <w:u w:val="single"/>
          <w:rtl/>
          <w:lang w:bidi="he-IL"/>
        </w:rPr>
        <w:t>'כאשר זמם' ולא כאשר עשה</w:t>
      </w:r>
      <w:r w:rsidRPr="00621D12">
        <w:rPr>
          <w:rFonts w:cs="Arial" w:hint="cs"/>
          <w:sz w:val="28"/>
          <w:szCs w:val="28"/>
          <w:rtl/>
          <w:lang w:bidi="he-IL"/>
        </w:rPr>
        <w:t xml:space="preserve"> </w:t>
      </w:r>
      <w:r w:rsidRPr="00621D12">
        <w:rPr>
          <w:rFonts w:cs="Arial" w:hint="cs"/>
          <w:sz w:val="24"/>
          <w:szCs w:val="24"/>
          <w:rtl/>
          <w:lang w:bidi="he-IL"/>
        </w:rPr>
        <w:t>(#</w:t>
      </w:r>
      <w:r>
        <w:rPr>
          <w:rFonts w:cs="Arial" w:hint="cs"/>
          <w:sz w:val="24"/>
          <w:szCs w:val="24"/>
          <w:rtl/>
          <w:lang w:bidi="he-IL"/>
        </w:rPr>
        <w:t>3</w:t>
      </w:r>
      <w:r w:rsidRPr="00621D12">
        <w:rPr>
          <w:rFonts w:cs="Arial" w:hint="cs"/>
          <w:sz w:val="24"/>
          <w:szCs w:val="24"/>
          <w:rtl/>
          <w:lang w:bidi="he-IL"/>
        </w:rPr>
        <w:t>)</w:t>
      </w:r>
    </w:p>
    <w:bookmarkEnd w:id="0"/>
    <w:p w14:paraId="11E24084" w14:textId="5D4A90AB" w:rsidR="00621D12" w:rsidRDefault="00621D12" w:rsidP="00621D12">
      <w:pPr>
        <w:jc w:val="right"/>
        <w:rPr>
          <w:rFonts w:cs="Arial"/>
          <w:u w:val="single"/>
          <w:lang w:bidi="he-IL"/>
        </w:rPr>
      </w:pPr>
      <w:r w:rsidRPr="00621D12">
        <w:rPr>
          <w:rFonts w:cs="Arial" w:hint="cs"/>
          <w:u w:val="single"/>
          <w:rtl/>
          <w:lang w:bidi="he-IL"/>
        </w:rPr>
        <w:t>היקף הדין</w:t>
      </w:r>
    </w:p>
    <w:p w14:paraId="109CD640" w14:textId="78BE024A" w:rsidR="005C65F1" w:rsidRDefault="005C65F1" w:rsidP="00621D12">
      <w:pPr>
        <w:jc w:val="right"/>
        <w:rPr>
          <w:rFonts w:cs="Arial"/>
          <w:rtl/>
          <w:lang w:bidi="he-IL"/>
        </w:rPr>
      </w:pPr>
      <w:r w:rsidRPr="005C65F1">
        <w:rPr>
          <w:rFonts w:cs="Arial" w:hint="cs"/>
          <w:b/>
          <w:bCs/>
          <w:rtl/>
          <w:lang w:bidi="he-IL"/>
        </w:rPr>
        <w:t>גמ'</w:t>
      </w:r>
      <w:r>
        <w:rPr>
          <w:rFonts w:cs="Arial" w:hint="cs"/>
          <w:rtl/>
          <w:lang w:bidi="he-IL"/>
        </w:rPr>
        <w:t xml:space="preserve"> ב"ב נו. ["מתני' היו..."] - נו: [עד "..ביניהם"], </w:t>
      </w:r>
      <w:r>
        <w:rPr>
          <w:rFonts w:cs="Arial" w:hint="cs"/>
          <w:b/>
          <w:bCs/>
          <w:rtl/>
          <w:lang w:bidi="he-IL"/>
        </w:rPr>
        <w:t>רשב"ם</w:t>
      </w:r>
      <w:r>
        <w:rPr>
          <w:rFonts w:cs="Arial" w:hint="cs"/>
          <w:rtl/>
          <w:lang w:bidi="he-IL"/>
        </w:rPr>
        <w:t xml:space="preserve"> שם</w:t>
      </w:r>
    </w:p>
    <w:p w14:paraId="2C6AB86F" w14:textId="6636B7ED" w:rsidR="005C65F1" w:rsidRDefault="005C65F1" w:rsidP="00621D12">
      <w:pPr>
        <w:jc w:val="right"/>
        <w:rPr>
          <w:rFonts w:cs="Arial"/>
          <w:rtl/>
          <w:lang w:bidi="he-IL"/>
        </w:rPr>
      </w:pPr>
      <w:r w:rsidRPr="005C65F1">
        <w:rPr>
          <w:rFonts w:cs="Arial" w:hint="cs"/>
          <w:b/>
          <w:bCs/>
          <w:rtl/>
          <w:lang w:bidi="he-IL"/>
        </w:rPr>
        <w:t>נימוקי יוסף</w:t>
      </w:r>
      <w:r>
        <w:rPr>
          <w:rFonts w:cs="Arial" w:hint="cs"/>
          <w:rtl/>
          <w:lang w:bidi="he-IL"/>
        </w:rPr>
        <w:t xml:space="preserve"> שם</w:t>
      </w:r>
      <w:r w:rsidR="001761E3">
        <w:rPr>
          <w:rFonts w:cs="Arial" w:hint="cs"/>
          <w:rtl/>
          <w:lang w:bidi="he-IL"/>
        </w:rPr>
        <w:t xml:space="preserve"> ל. (בדפי הרי"ף) [ד"ה משלמין]</w:t>
      </w:r>
    </w:p>
    <w:p w14:paraId="5C3AE5AC" w14:textId="6523C781" w:rsidR="001761E3" w:rsidRPr="001761E3" w:rsidRDefault="001761E3" w:rsidP="00621D12">
      <w:pPr>
        <w:jc w:val="right"/>
        <w:rPr>
          <w:rFonts w:cs="Arial" w:hint="cs"/>
          <w:rtl/>
          <w:lang w:bidi="he-IL"/>
        </w:rPr>
      </w:pPr>
      <w:r w:rsidRPr="001761E3">
        <w:rPr>
          <w:rFonts w:cs="Arial" w:hint="cs"/>
          <w:b/>
          <w:bCs/>
          <w:rtl/>
          <w:lang w:bidi="he-IL"/>
        </w:rPr>
        <w:t>שיטה מקובצת</w:t>
      </w:r>
      <w:r>
        <w:rPr>
          <w:rFonts w:cs="Arial" w:hint="cs"/>
          <w:rtl/>
          <w:lang w:bidi="he-IL"/>
        </w:rPr>
        <w:t xml:space="preserve"> ב"ק ד: (ד"ה עדים זוממין</w:t>
      </w:r>
      <w:r w:rsidR="00A21FF9">
        <w:rPr>
          <w:rFonts w:cs="Arial" w:hint="cs"/>
          <w:rtl/>
          <w:lang w:bidi="he-IL"/>
        </w:rPr>
        <w:t xml:space="preserve"> ודוקא)</w:t>
      </w:r>
    </w:p>
    <w:p w14:paraId="0F8291A2" w14:textId="77777777" w:rsidR="005C65F1" w:rsidRPr="005C65F1" w:rsidRDefault="005C65F1" w:rsidP="005C65F1">
      <w:pPr>
        <w:jc w:val="right"/>
        <w:rPr>
          <w:rFonts w:cs="Arial"/>
          <w:u w:val="single"/>
          <w:lang w:bidi="he-IL"/>
        </w:rPr>
      </w:pPr>
      <w:r w:rsidRPr="005C65F1">
        <w:rPr>
          <w:rFonts w:cs="Arial" w:hint="cs"/>
          <w:u w:val="single"/>
          <w:rtl/>
          <w:lang w:bidi="he-IL"/>
        </w:rPr>
        <w:t>עונשין</w:t>
      </w:r>
      <w:r w:rsidRPr="005C65F1">
        <w:rPr>
          <w:rFonts w:cs="Arial"/>
          <w:u w:val="single"/>
          <w:lang w:bidi="he-IL"/>
        </w:rPr>
        <w:t xml:space="preserve"> vs. </w:t>
      </w:r>
      <w:r w:rsidRPr="005C65F1">
        <w:rPr>
          <w:rFonts w:cs="Arial" w:hint="cs"/>
          <w:u w:val="single"/>
          <w:rtl/>
          <w:lang w:bidi="he-IL"/>
        </w:rPr>
        <w:t>שאר דיני הזמה</w:t>
      </w:r>
    </w:p>
    <w:p w14:paraId="43AF9317" w14:textId="50D59878" w:rsidR="005C65F1" w:rsidRDefault="00A21FF9" w:rsidP="00621D12">
      <w:pPr>
        <w:jc w:val="right"/>
        <w:rPr>
          <w:rFonts w:cs="Arial"/>
          <w:rtl/>
          <w:lang w:bidi="he-IL"/>
        </w:rPr>
      </w:pPr>
      <w:r w:rsidRPr="00A21FF9">
        <w:rPr>
          <w:rFonts w:cs="Arial" w:hint="cs"/>
          <w:b/>
          <w:bCs/>
          <w:rtl/>
          <w:lang w:bidi="he-IL"/>
        </w:rPr>
        <w:t>מאירי</w:t>
      </w:r>
      <w:r>
        <w:rPr>
          <w:rFonts w:cs="Arial" w:hint="cs"/>
          <w:rtl/>
          <w:lang w:bidi="he-IL"/>
        </w:rPr>
        <w:t xml:space="preserve"> ה. (ד"ה עדים שהוזמו)</w:t>
      </w:r>
    </w:p>
    <w:p w14:paraId="2D471EBE" w14:textId="04A649E1" w:rsidR="006537E3" w:rsidRDefault="006537E3" w:rsidP="00621D12">
      <w:pPr>
        <w:jc w:val="right"/>
        <w:rPr>
          <w:rFonts w:cs="Arial"/>
          <w:rtl/>
          <w:lang w:bidi="he-IL"/>
        </w:rPr>
      </w:pPr>
      <w:r w:rsidRPr="006537E3">
        <w:rPr>
          <w:rFonts w:cs="Arial" w:hint="cs"/>
          <w:b/>
          <w:bCs/>
          <w:rtl/>
          <w:lang w:bidi="he-IL"/>
        </w:rPr>
        <w:t>רמב"ם</w:t>
      </w:r>
      <w:r>
        <w:rPr>
          <w:rFonts w:cs="Arial" w:hint="cs"/>
          <w:rtl/>
          <w:lang w:bidi="he-IL"/>
        </w:rPr>
        <w:t xml:space="preserve"> הל' עדות (כ:א-ב)</w:t>
      </w:r>
    </w:p>
    <w:p w14:paraId="7A6CE7BE" w14:textId="650EDE36" w:rsidR="006537E3" w:rsidRDefault="006537E3" w:rsidP="00621D12">
      <w:pPr>
        <w:jc w:val="right"/>
        <w:rPr>
          <w:rFonts w:cs="Arial"/>
          <w:rtl/>
          <w:lang w:bidi="he-IL"/>
        </w:rPr>
      </w:pPr>
      <w:r w:rsidRPr="006537E3">
        <w:rPr>
          <w:rFonts w:cs="Arial" w:hint="cs"/>
          <w:b/>
          <w:bCs/>
          <w:rtl/>
          <w:lang w:bidi="he-IL"/>
        </w:rPr>
        <w:t>רדב"ז</w:t>
      </w:r>
      <w:r>
        <w:rPr>
          <w:rFonts w:cs="Arial" w:hint="cs"/>
          <w:rtl/>
          <w:lang w:bidi="he-IL"/>
        </w:rPr>
        <w:t xml:space="preserve"> שם:ב' (ד"ה נהרג זה) [עד "... לא ביאר טעמו"]</w:t>
      </w:r>
    </w:p>
    <w:p w14:paraId="066FB6C8" w14:textId="5D28D272" w:rsidR="006537E3" w:rsidRDefault="006537E3" w:rsidP="00621D12">
      <w:pPr>
        <w:jc w:val="right"/>
        <w:rPr>
          <w:rFonts w:cs="Arial"/>
          <w:rtl/>
          <w:lang w:bidi="he-IL"/>
        </w:rPr>
      </w:pPr>
      <w:r w:rsidRPr="006537E3">
        <w:rPr>
          <w:rFonts w:cs="Arial" w:hint="cs"/>
          <w:b/>
          <w:bCs/>
          <w:rtl/>
          <w:lang w:bidi="he-IL"/>
        </w:rPr>
        <w:t>חי' הריטב"א</w:t>
      </w:r>
      <w:r>
        <w:rPr>
          <w:rFonts w:cs="Arial" w:hint="cs"/>
          <w:rtl/>
          <w:lang w:bidi="he-IL"/>
        </w:rPr>
        <w:t xml:space="preserve"> ב: (ד"ה תדע) ["ומ"מ נראה מן הדברים..." עד הסוף]</w:t>
      </w:r>
    </w:p>
    <w:p w14:paraId="679C9FDE" w14:textId="1D8F0239" w:rsidR="009848A8" w:rsidRDefault="009848A8" w:rsidP="009848A8">
      <w:pPr>
        <w:jc w:val="right"/>
        <w:rPr>
          <w:rFonts w:cs="Arial"/>
          <w:lang w:bidi="he-IL"/>
        </w:rPr>
      </w:pPr>
      <w:r w:rsidRPr="009848A8">
        <w:rPr>
          <w:rFonts w:cs="Arial" w:hint="cs"/>
          <w:b/>
          <w:bCs/>
          <w:rtl/>
          <w:lang w:bidi="he-IL"/>
        </w:rPr>
        <w:t xml:space="preserve">שו"ת ריב"ש </w:t>
      </w:r>
      <w:r w:rsidRPr="009848A8">
        <w:rPr>
          <w:rFonts w:cs="Arial" w:hint="cs"/>
          <w:rtl/>
          <w:lang w:bidi="he-IL"/>
        </w:rPr>
        <w:t>(</w:t>
      </w:r>
      <w:r w:rsidRPr="009848A8">
        <w:rPr>
          <w:rFonts w:cs="Arial"/>
          <w:rtl/>
          <w:lang w:bidi="he-IL"/>
        </w:rPr>
        <w:t>סימן רס</w:t>
      </w:r>
      <w:r w:rsidRPr="009848A8">
        <w:rPr>
          <w:rFonts w:cs="Arial" w:hint="cs"/>
          <w:rtl/>
          <w:lang w:bidi="he-IL"/>
        </w:rPr>
        <w:t>"</w:t>
      </w:r>
      <w:r w:rsidRPr="009848A8">
        <w:rPr>
          <w:rFonts w:cs="Arial"/>
          <w:rtl/>
          <w:lang w:bidi="he-IL"/>
        </w:rPr>
        <w:t>ו</w:t>
      </w:r>
      <w:r w:rsidRPr="009848A8">
        <w:rPr>
          <w:rFonts w:cs="Arial" w:hint="cs"/>
          <w:rtl/>
          <w:lang w:bidi="he-IL"/>
        </w:rPr>
        <w:t>)</w:t>
      </w:r>
      <w:r w:rsidRPr="009848A8">
        <w:rPr>
          <w:rFonts w:cs="Arial"/>
          <w:vertAlign w:val="superscript"/>
          <w:rtl/>
          <w:lang w:bidi="he-IL"/>
        </w:rPr>
        <w:footnoteReference w:id="1"/>
      </w:r>
    </w:p>
    <w:p w14:paraId="371F40FE" w14:textId="04C92F3B" w:rsidR="00167D9B" w:rsidRDefault="00167D9B" w:rsidP="00167D9B">
      <w:pPr>
        <w:jc w:val="right"/>
        <w:rPr>
          <w:rFonts w:cs="Arial"/>
          <w:rtl/>
          <w:lang w:bidi="he-IL"/>
        </w:rPr>
      </w:pPr>
      <w:r w:rsidRPr="00167D9B">
        <w:rPr>
          <w:rFonts w:cs="Arial"/>
          <w:b/>
          <w:bCs/>
          <w:rtl/>
          <w:lang w:bidi="he-IL"/>
        </w:rPr>
        <w:t xml:space="preserve">נתיבות המשפט </w:t>
      </w:r>
      <w:r>
        <w:rPr>
          <w:rFonts w:cs="Arial" w:hint="cs"/>
          <w:rtl/>
          <w:lang w:bidi="he-IL"/>
        </w:rPr>
        <w:t>(</w:t>
      </w:r>
      <w:r w:rsidRPr="00167D9B">
        <w:rPr>
          <w:rFonts w:cs="Arial"/>
          <w:rtl/>
          <w:lang w:bidi="he-IL"/>
        </w:rPr>
        <w:t>ביאורים סימן ל</w:t>
      </w:r>
      <w:r>
        <w:rPr>
          <w:rFonts w:cs="Arial" w:hint="cs"/>
          <w:rtl/>
          <w:lang w:bidi="he-IL"/>
        </w:rPr>
        <w:t>"</w:t>
      </w:r>
      <w:r w:rsidRPr="00167D9B">
        <w:rPr>
          <w:rFonts w:cs="Arial"/>
          <w:rtl/>
          <w:lang w:bidi="he-IL"/>
        </w:rPr>
        <w:t>ד ס"ק ו</w:t>
      </w:r>
      <w:r>
        <w:rPr>
          <w:rFonts w:cs="Arial" w:hint="cs"/>
          <w:rtl/>
          <w:lang w:bidi="he-IL"/>
        </w:rPr>
        <w:t>')</w:t>
      </w:r>
      <w:r>
        <w:rPr>
          <w:rStyle w:val="FootnoteReference"/>
          <w:rFonts w:cs="Arial"/>
          <w:rtl/>
          <w:lang w:bidi="he-IL"/>
        </w:rPr>
        <w:footnoteReference w:id="2"/>
      </w:r>
    </w:p>
    <w:p w14:paraId="35259F8F" w14:textId="58C68D76" w:rsidR="00167D9B" w:rsidRDefault="00167D9B" w:rsidP="00167D9B">
      <w:pPr>
        <w:jc w:val="right"/>
        <w:rPr>
          <w:rFonts w:cs="Arial"/>
          <w:u w:val="single"/>
          <w:rtl/>
          <w:lang w:bidi="he-IL"/>
        </w:rPr>
      </w:pPr>
      <w:r w:rsidRPr="00167D9B">
        <w:rPr>
          <w:rFonts w:cs="Arial" w:hint="cs"/>
          <w:u w:val="single"/>
          <w:rtl/>
          <w:lang w:bidi="he-IL"/>
        </w:rPr>
        <w:t>מקור הדין</w:t>
      </w:r>
    </w:p>
    <w:p w14:paraId="68D1881C" w14:textId="52388B19" w:rsidR="00A211F6" w:rsidRDefault="00A211F6" w:rsidP="00A211F6">
      <w:pPr>
        <w:jc w:val="right"/>
        <w:rPr>
          <w:rFonts w:cs="Arial"/>
          <w:rtl/>
          <w:lang w:bidi="he-IL"/>
        </w:rPr>
      </w:pPr>
      <w:r w:rsidRPr="00A211F6">
        <w:rPr>
          <w:rFonts w:cs="Arial" w:hint="cs"/>
          <w:b/>
          <w:bCs/>
          <w:rtl/>
          <w:lang w:bidi="he-IL"/>
        </w:rPr>
        <w:t>גמ'</w:t>
      </w:r>
      <w:r w:rsidRPr="00A211F6">
        <w:rPr>
          <w:rFonts w:cs="Arial" w:hint="cs"/>
          <w:rtl/>
          <w:lang w:bidi="he-IL"/>
        </w:rPr>
        <w:t xml:space="preserve"> ה: ["מתני' אין העדים... </w:t>
      </w:r>
      <w:r>
        <w:rPr>
          <w:rFonts w:cs="Arial" w:hint="cs"/>
          <w:rtl/>
          <w:lang w:bidi="he-IL"/>
        </w:rPr>
        <w:t>שאין עונשין מן הדין</w:t>
      </w:r>
      <w:r w:rsidRPr="00A211F6">
        <w:rPr>
          <w:rFonts w:cs="Arial" w:hint="cs"/>
          <w:rtl/>
          <w:lang w:bidi="he-IL"/>
        </w:rPr>
        <w:t xml:space="preserve">"], </w:t>
      </w:r>
      <w:r w:rsidRPr="00A211F6">
        <w:rPr>
          <w:rFonts w:cs="Arial" w:hint="cs"/>
          <w:b/>
          <w:bCs/>
          <w:rtl/>
          <w:lang w:bidi="he-IL"/>
        </w:rPr>
        <w:t>רש"י</w:t>
      </w:r>
      <w:r w:rsidRPr="00A211F6">
        <w:rPr>
          <w:rFonts w:cs="Arial" w:hint="cs"/>
          <w:rtl/>
          <w:lang w:bidi="he-IL"/>
        </w:rPr>
        <w:t xml:space="preserve"> שם</w:t>
      </w:r>
      <w:r>
        <w:rPr>
          <w:rFonts w:cs="Arial" w:hint="cs"/>
          <w:rtl/>
          <w:lang w:bidi="he-IL"/>
        </w:rPr>
        <w:t xml:space="preserve"> [בפרט ד"ה </w:t>
      </w:r>
      <w:r w:rsidRPr="00A211F6">
        <w:rPr>
          <w:rFonts w:cs="Arial" w:hint="cs"/>
          <w:rtl/>
          <w:lang w:bidi="he-IL"/>
        </w:rPr>
        <w:t>לעשות לאחיו</w:t>
      </w:r>
      <w:r>
        <w:rPr>
          <w:rFonts w:cs="Arial" w:hint="cs"/>
          <w:rtl/>
          <w:lang w:bidi="he-IL"/>
        </w:rPr>
        <w:t>]</w:t>
      </w:r>
    </w:p>
    <w:p w14:paraId="1255108A" w14:textId="2EE3325E" w:rsidR="00167D9B" w:rsidRDefault="00A211F6" w:rsidP="009848A8">
      <w:pPr>
        <w:jc w:val="right"/>
        <w:rPr>
          <w:rFonts w:cs="Arial"/>
          <w:rtl/>
          <w:lang w:bidi="he-IL"/>
        </w:rPr>
      </w:pPr>
      <w:r w:rsidRPr="00A211F6">
        <w:rPr>
          <w:rFonts w:cs="Arial" w:hint="cs"/>
          <w:b/>
          <w:bCs/>
          <w:rtl/>
          <w:lang w:bidi="he-IL"/>
        </w:rPr>
        <w:t>גמ'</w:t>
      </w:r>
      <w:r>
        <w:rPr>
          <w:rFonts w:cs="Arial" w:hint="cs"/>
          <w:b/>
          <w:bCs/>
          <w:rtl/>
          <w:lang w:bidi="he-IL"/>
        </w:rPr>
        <w:t xml:space="preserve"> </w:t>
      </w:r>
      <w:r w:rsidRPr="00A211F6">
        <w:rPr>
          <w:rFonts w:cs="Arial" w:hint="cs"/>
          <w:rtl/>
          <w:lang w:bidi="he-IL"/>
        </w:rPr>
        <w:t>ב.</w:t>
      </w:r>
      <w:r>
        <w:rPr>
          <w:rFonts w:cs="Arial" w:hint="cs"/>
          <w:rtl/>
          <w:lang w:bidi="he-IL"/>
        </w:rPr>
        <w:t xml:space="preserve"> ["בר פדא אומר..."] - ב: [עד "...מעיקרא"], </w:t>
      </w:r>
      <w:r w:rsidRPr="00A211F6">
        <w:rPr>
          <w:rFonts w:cs="Arial" w:hint="cs"/>
          <w:b/>
          <w:bCs/>
          <w:rtl/>
          <w:lang w:bidi="he-IL"/>
        </w:rPr>
        <w:t>רש"י</w:t>
      </w:r>
      <w:r>
        <w:rPr>
          <w:rFonts w:cs="Arial" w:hint="cs"/>
          <w:rtl/>
          <w:lang w:bidi="he-IL"/>
        </w:rPr>
        <w:t xml:space="preserve"> שם [בפרט ד"ה ומה הסוקל]</w:t>
      </w:r>
    </w:p>
    <w:p w14:paraId="5D0FFA5E" w14:textId="5EE420FC" w:rsidR="00A211F6" w:rsidRDefault="00A211F6" w:rsidP="009848A8">
      <w:pPr>
        <w:jc w:val="right"/>
        <w:rPr>
          <w:rFonts w:cs="Arial"/>
          <w:rtl/>
          <w:lang w:bidi="he-IL"/>
        </w:rPr>
      </w:pPr>
      <w:r w:rsidRPr="00A211F6">
        <w:rPr>
          <w:rFonts w:cs="Arial" w:hint="cs"/>
          <w:b/>
          <w:bCs/>
          <w:rtl/>
          <w:lang w:bidi="he-IL"/>
        </w:rPr>
        <w:t>רש"י</w:t>
      </w:r>
      <w:r w:rsidR="00C83D26">
        <w:rPr>
          <w:rFonts w:cs="Arial" w:hint="cs"/>
          <w:b/>
          <w:bCs/>
          <w:rtl/>
          <w:lang w:bidi="he-IL"/>
        </w:rPr>
        <w:t xml:space="preserve"> </w:t>
      </w:r>
      <w:r w:rsidR="00C83D26" w:rsidRPr="00C83D26">
        <w:rPr>
          <w:rFonts w:cs="Arial" w:hint="cs"/>
          <w:rtl/>
          <w:lang w:bidi="he-IL"/>
        </w:rPr>
        <w:t>דברים</w:t>
      </w:r>
      <w:r w:rsidR="00C83D26">
        <w:rPr>
          <w:rFonts w:cs="Arial" w:hint="cs"/>
          <w:rtl/>
          <w:lang w:bidi="he-IL"/>
        </w:rPr>
        <w:t xml:space="preserve"> י"ט:י"ט (ד"ה כאשר זמם)</w:t>
      </w:r>
    </w:p>
    <w:p w14:paraId="70D239DD" w14:textId="2872549E" w:rsidR="00C83D26" w:rsidRPr="009848A8" w:rsidRDefault="00C83D26" w:rsidP="009848A8">
      <w:pPr>
        <w:jc w:val="right"/>
        <w:rPr>
          <w:rFonts w:cs="Arial"/>
          <w:rtl/>
          <w:lang w:bidi="he-IL"/>
        </w:rPr>
      </w:pPr>
      <w:r w:rsidRPr="00C83D26">
        <w:rPr>
          <w:rFonts w:cs="Arial" w:hint="cs"/>
          <w:b/>
          <w:bCs/>
          <w:rtl/>
          <w:lang w:bidi="he-IL"/>
        </w:rPr>
        <w:t>ערוך לנר</w:t>
      </w:r>
      <w:r>
        <w:rPr>
          <w:rFonts w:cs="Arial" w:hint="cs"/>
          <w:rtl/>
          <w:lang w:bidi="he-IL"/>
        </w:rPr>
        <w:t xml:space="preserve"> ה: (ד"ה</w:t>
      </w:r>
      <w:r w:rsidR="00F45A83">
        <w:rPr>
          <w:rFonts w:cs="Arial" w:hint="cs"/>
          <w:rtl/>
          <w:lang w:bidi="he-IL"/>
        </w:rPr>
        <w:t xml:space="preserve"> אלא דאכתי, ובזה אתי שפיר)</w:t>
      </w:r>
    </w:p>
    <w:p w14:paraId="5C6D5816" w14:textId="77777777" w:rsidR="009848A8" w:rsidRDefault="009848A8" w:rsidP="009848A8">
      <w:pPr>
        <w:jc w:val="right"/>
        <w:rPr>
          <w:rFonts w:cs="Arial"/>
          <w:u w:val="single"/>
          <w:rtl/>
          <w:lang w:bidi="he-IL"/>
        </w:rPr>
      </w:pPr>
    </w:p>
    <w:p w14:paraId="4A293CBD" w14:textId="77777777" w:rsidR="009848A8" w:rsidRDefault="009848A8" w:rsidP="009848A8">
      <w:pPr>
        <w:jc w:val="right"/>
        <w:rPr>
          <w:rFonts w:cs="Arial"/>
          <w:u w:val="single"/>
          <w:rtl/>
          <w:lang w:bidi="he-IL"/>
        </w:rPr>
      </w:pPr>
    </w:p>
    <w:p w14:paraId="7EADFC29" w14:textId="69D92339" w:rsidR="009848A8" w:rsidRPr="009848A8" w:rsidRDefault="009848A8" w:rsidP="009848A8">
      <w:pPr>
        <w:jc w:val="right"/>
        <w:rPr>
          <w:rFonts w:cs="Arial"/>
          <w:u w:val="single"/>
          <w:lang w:bidi="he-IL"/>
        </w:rPr>
      </w:pPr>
      <w:r w:rsidRPr="009848A8">
        <w:rPr>
          <w:rFonts w:cs="Arial"/>
          <w:u w:val="single"/>
          <w:rtl/>
          <w:lang w:bidi="he-IL"/>
        </w:rPr>
        <w:t>שו"ת הריב"ש סימן רס</w:t>
      </w:r>
      <w:r w:rsidRPr="009848A8">
        <w:rPr>
          <w:rFonts w:cs="Arial" w:hint="cs"/>
          <w:u w:val="single"/>
          <w:rtl/>
          <w:lang w:bidi="he-IL"/>
        </w:rPr>
        <w:t>"</w:t>
      </w:r>
      <w:r w:rsidRPr="009848A8">
        <w:rPr>
          <w:rFonts w:cs="Arial"/>
          <w:u w:val="single"/>
          <w:rtl/>
          <w:lang w:bidi="he-IL"/>
        </w:rPr>
        <w:t>ו</w:t>
      </w:r>
    </w:p>
    <w:p w14:paraId="73AF9C0A" w14:textId="72F29905" w:rsidR="009848A8" w:rsidRDefault="009848A8" w:rsidP="009848A8">
      <w:pPr>
        <w:jc w:val="right"/>
        <w:rPr>
          <w:rFonts w:cs="Arial"/>
          <w:lang w:bidi="he-IL"/>
        </w:rPr>
      </w:pPr>
      <w:r w:rsidRPr="009848A8">
        <w:rPr>
          <w:rFonts w:cs="Arial"/>
          <w:rtl/>
          <w:lang w:bidi="he-IL"/>
        </w:rPr>
        <w:t>והכי נמי אף על פי שלא הוזם בפניו ואינה הזמה לענוש אותו מכאשר זמם, מ"מ עדותו בטלה כיון שהעידו בגופו. וה"ה נמי אם היו מעידין בשניהם. והרי זה כההיא דתנן (מכות ה':) שאין העדים נעשין זוממין עד שיוזמו כולן. וכן עד שיגמר הדין, דהיינו לענין עונש העדים. אבל עדותן בטלה ופסולין הן לכל עדות שבתורה, וכמש"כ הרמב"ם ז"ל (פ"כ מהלכות עדות). וכן הדין נמי בעדים שהוזמו שלא בפניהם. וכן נראה מלשון רש"י ז"ל שכתב שם נהי דהזמה לא הויא לענשן לא נפש ולא ממון, הכחשה הויא לבטל עדותן ע"כ</w:t>
      </w:r>
      <w:r w:rsidRPr="009848A8">
        <w:rPr>
          <w:rFonts w:cs="Arial" w:hint="cs"/>
          <w:rtl/>
          <w:lang w:bidi="he-IL"/>
        </w:rPr>
        <w:t>.</w:t>
      </w:r>
    </w:p>
    <w:p w14:paraId="449B041D" w14:textId="77777777" w:rsidR="00167D9B" w:rsidRPr="00167D9B" w:rsidRDefault="00167D9B" w:rsidP="00167D9B">
      <w:pPr>
        <w:jc w:val="right"/>
        <w:rPr>
          <w:rFonts w:cs="Arial"/>
          <w:u w:val="single"/>
        </w:rPr>
      </w:pPr>
      <w:r w:rsidRPr="00167D9B">
        <w:rPr>
          <w:rFonts w:cs="Arial"/>
          <w:u w:val="single"/>
          <w:rtl/>
          <w:lang w:bidi="he-IL"/>
        </w:rPr>
        <w:t>נתיבות המשפט ביאורים סימן לד ס"ק ו</w:t>
      </w:r>
    </w:p>
    <w:p w14:paraId="5FE5511F" w14:textId="6A6D7909" w:rsidR="00167D9B" w:rsidRPr="009848A8" w:rsidRDefault="00167D9B" w:rsidP="00167D9B">
      <w:pPr>
        <w:jc w:val="right"/>
        <w:rPr>
          <w:rFonts w:cs="Arial" w:hint="cs"/>
          <w:rtl/>
          <w:lang w:bidi="he-IL"/>
        </w:rPr>
      </w:pPr>
      <w:r w:rsidRPr="00167D9B">
        <w:rPr>
          <w:rFonts w:cs="Arial"/>
          <w:rtl/>
          <w:lang w:bidi="he-IL"/>
        </w:rPr>
        <w:t xml:space="preserve">דכל שאינן מעידין על גמר הדבר של גירושין, לא בעינן הגדה בב"ד כלל, וכיון דמפי עדים כשר, מפי כתבם גם כן כשר, דקרא דאם לא יגיד, דמשמע בפה, בבית דין כתיב, וכיון דעדות זו לא בעי הגדה לפני ב"ד, על כרחך דלא בעי בעדות זו עדות שאתה יכול להזימה, דהזמה אינה רק אחר גמר דין [ד]בית דין, ובדיעבד אם הוזמו, ודאי נפסלין העדים אף שאין עושין בהן דין הזמה, </w:t>
      </w:r>
      <w:r>
        <w:rPr>
          <w:rFonts w:cs="Arial" w:hint="cs"/>
          <w:rtl/>
          <w:lang w:bidi="he-IL"/>
        </w:rPr>
        <w:t>...</w:t>
      </w:r>
      <w:r w:rsidRPr="00167D9B">
        <w:rPr>
          <w:rFonts w:cs="Arial"/>
          <w:rtl/>
          <w:lang w:bidi="he-IL"/>
        </w:rPr>
        <w:t xml:space="preserve"> דרחמנא חידשה בהזמה דכשאומרין הזמה על גופן של עדים שיהיו </w:t>
      </w:r>
      <w:r w:rsidRPr="00167D9B">
        <w:rPr>
          <w:rFonts w:cs="Arial"/>
          <w:rtl/>
          <w:lang w:bidi="he-IL"/>
        </w:rPr>
        <w:lastRenderedPageBreak/>
        <w:t xml:space="preserve">האחרונים נאמנין, וכאילו באו להעיד על גופן של עדים שהן גזלנין. תדע דהא אפילו באיסורין אם הוזמו, המזימין נאמנין, וכיון שהמזימין נאמנין ממילא הראשונים שהתירו איסור בשקר, נפסלין כמו טבח שהוציא טריפה מתחת ידו. וזה טעם הש"ך שפסק דהעדים נפסלין ואין עושין בהן דין הזמה, דבשטר ממון גם כן העדי חתימה אין מעידין רק שעשאן שלוחים, דהא כותבין שטר ללוה ולנותן, </w:t>
      </w:r>
      <w:r>
        <w:rPr>
          <w:rFonts w:cs="Arial" w:hint="cs"/>
          <w:rtl/>
          <w:lang w:bidi="he-IL"/>
        </w:rPr>
        <w:t>...</w:t>
      </w:r>
      <w:r w:rsidRPr="00167D9B">
        <w:rPr>
          <w:rFonts w:cs="Arial"/>
          <w:rtl/>
          <w:lang w:bidi="he-IL"/>
        </w:rPr>
        <w:t xml:space="preserve"> אלמא לעשותן שלוחים לא בעי הגדה בפני ב"ד, ולזה לא בעי עדות שאתה יכול להזימה. ואם הוזמו, המזימין נאמנין והראשונים נפסלין. וכן אפילו מעידין בגמר הדין בשטר, </w:t>
      </w:r>
      <w:r>
        <w:rPr>
          <w:rFonts w:cs="Arial" w:hint="cs"/>
          <w:rtl/>
          <w:lang w:bidi="he-IL"/>
        </w:rPr>
        <w:t>...</w:t>
      </w:r>
      <w:r w:rsidRPr="00167D9B">
        <w:rPr>
          <w:rFonts w:cs="Arial"/>
          <w:rtl/>
          <w:lang w:bidi="he-IL"/>
        </w:rPr>
        <w:t xml:space="preserve"> דאז אין חותמין רק כשראו המסירה ומעידין על גמר הדבר, מ"מ אפשר דלא חייבה רחמנא (ו)לענוש דין הזמה רק במגידין בפה, והעדים ודאי דנפסלין כשהוזמו, דהמזימין תמיד נאמנים</w:t>
      </w:r>
      <w:r>
        <w:rPr>
          <w:rFonts w:cs="Arial" w:hint="cs"/>
          <w:rtl/>
          <w:lang w:bidi="he-IL"/>
        </w:rPr>
        <w:t>.</w:t>
      </w:r>
    </w:p>
    <w:p w14:paraId="021E55A8" w14:textId="77777777" w:rsidR="006537E3" w:rsidRPr="00621D12" w:rsidRDefault="006537E3" w:rsidP="00621D12">
      <w:pPr>
        <w:jc w:val="right"/>
        <w:rPr>
          <w:rFonts w:cs="Arial"/>
          <w:rtl/>
        </w:rPr>
      </w:pPr>
    </w:p>
    <w:p w14:paraId="61DF0C7B" w14:textId="77777777" w:rsidR="008530F9" w:rsidRDefault="00000000"/>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1DBE" w14:textId="77777777" w:rsidR="00BC6CB5" w:rsidRDefault="00BC6CB5" w:rsidP="009848A8">
      <w:pPr>
        <w:spacing w:after="0" w:line="240" w:lineRule="auto"/>
      </w:pPr>
      <w:r>
        <w:separator/>
      </w:r>
    </w:p>
  </w:endnote>
  <w:endnote w:type="continuationSeparator" w:id="0">
    <w:p w14:paraId="4B26FD68" w14:textId="77777777" w:rsidR="00BC6CB5" w:rsidRDefault="00BC6CB5" w:rsidP="0098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E2D9" w14:textId="77777777" w:rsidR="00BC6CB5" w:rsidRDefault="00BC6CB5" w:rsidP="009848A8">
      <w:pPr>
        <w:spacing w:after="0" w:line="240" w:lineRule="auto"/>
      </w:pPr>
      <w:r>
        <w:separator/>
      </w:r>
    </w:p>
  </w:footnote>
  <w:footnote w:type="continuationSeparator" w:id="0">
    <w:p w14:paraId="4049690F" w14:textId="77777777" w:rsidR="00BC6CB5" w:rsidRDefault="00BC6CB5" w:rsidP="009848A8">
      <w:pPr>
        <w:spacing w:after="0" w:line="240" w:lineRule="auto"/>
      </w:pPr>
      <w:r>
        <w:continuationSeparator/>
      </w:r>
    </w:p>
  </w:footnote>
  <w:footnote w:id="1">
    <w:p w14:paraId="3302223F" w14:textId="77777777" w:rsidR="009848A8" w:rsidRPr="00ED1B78" w:rsidRDefault="009848A8" w:rsidP="009848A8">
      <w:pPr>
        <w:pStyle w:val="FootnoteText"/>
        <w:rPr>
          <w:sz w:val="16"/>
          <w:szCs w:val="16"/>
          <w:lang w:bidi="he-IL"/>
        </w:rPr>
      </w:pPr>
      <w:r w:rsidRPr="00ED1B78">
        <w:rPr>
          <w:rStyle w:val="FootnoteReference"/>
          <w:sz w:val="16"/>
          <w:szCs w:val="16"/>
        </w:rPr>
        <w:footnoteRef/>
      </w:r>
      <w:r w:rsidRPr="00ED1B78">
        <w:rPr>
          <w:sz w:val="16"/>
          <w:szCs w:val="16"/>
        </w:rPr>
        <w:t xml:space="preserve"> </w:t>
      </w:r>
      <w:r w:rsidRPr="00ED1B78">
        <w:rPr>
          <w:sz w:val="16"/>
          <w:szCs w:val="16"/>
          <w:lang w:bidi="he-IL"/>
        </w:rPr>
        <w:t>See below</w:t>
      </w:r>
    </w:p>
  </w:footnote>
  <w:footnote w:id="2">
    <w:p w14:paraId="54A2BB41" w14:textId="4636A0C3" w:rsidR="00167D9B" w:rsidRPr="00167D9B" w:rsidRDefault="00167D9B">
      <w:pPr>
        <w:pStyle w:val="FootnoteText"/>
        <w:rPr>
          <w:sz w:val="16"/>
          <w:szCs w:val="16"/>
          <w:lang w:bidi="he-IL"/>
        </w:rPr>
      </w:pPr>
      <w:r w:rsidRPr="00167D9B">
        <w:rPr>
          <w:rStyle w:val="FootnoteReference"/>
          <w:sz w:val="16"/>
          <w:szCs w:val="16"/>
        </w:rPr>
        <w:footnoteRef/>
      </w:r>
      <w:r w:rsidRPr="00167D9B">
        <w:rPr>
          <w:sz w:val="16"/>
          <w:szCs w:val="16"/>
        </w:rPr>
        <w:t xml:space="preserve"> </w:t>
      </w:r>
      <w:r w:rsidRPr="00167D9B">
        <w:rPr>
          <w:rFonts w:hint="cs"/>
          <w:sz w:val="16"/>
          <w:szCs w:val="16"/>
          <w:lang w:bidi="he-IL"/>
        </w:rPr>
        <w:t>S</w:t>
      </w:r>
      <w:r w:rsidRPr="00167D9B">
        <w:rPr>
          <w:sz w:val="16"/>
          <w:szCs w:val="16"/>
          <w:lang w:bidi="he-IL"/>
        </w:rPr>
        <w:t xml:space="preserve">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2"/>
    <w:rsid w:val="00167D9B"/>
    <w:rsid w:val="001761E3"/>
    <w:rsid w:val="005C65F1"/>
    <w:rsid w:val="00621D12"/>
    <w:rsid w:val="006537E3"/>
    <w:rsid w:val="008A1AE2"/>
    <w:rsid w:val="009848A8"/>
    <w:rsid w:val="00A211F6"/>
    <w:rsid w:val="00A21FF9"/>
    <w:rsid w:val="00A46F84"/>
    <w:rsid w:val="00BC6CB5"/>
    <w:rsid w:val="00C83D26"/>
    <w:rsid w:val="00F45A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F298"/>
  <w15:chartTrackingRefBased/>
  <w15:docId w15:val="{121EB765-460F-48B8-BCCA-26CE51A6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8A8"/>
    <w:rPr>
      <w:sz w:val="20"/>
      <w:szCs w:val="20"/>
    </w:rPr>
  </w:style>
  <w:style w:type="character" w:styleId="FootnoteReference">
    <w:name w:val="footnote reference"/>
    <w:basedOn w:val="DefaultParagraphFont"/>
    <w:uiPriority w:val="99"/>
    <w:semiHidden/>
    <w:unhideWhenUsed/>
    <w:rsid w:val="00984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2022-07-18T18:26:00Z</dcterms:created>
  <dcterms:modified xsi:type="dcterms:W3CDTF">2022-07-18T19:19:00Z</dcterms:modified>
</cp:coreProperties>
</file>