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C180" w14:textId="77777777" w:rsidR="003E5E60" w:rsidRPr="003E5E60" w:rsidRDefault="003E5E60" w:rsidP="003E5E60">
      <w:pPr>
        <w:jc w:val="right"/>
        <w:rPr>
          <w:rtl/>
          <w:lang w:bidi="he-IL"/>
        </w:rPr>
      </w:pPr>
      <w:r w:rsidRPr="003E5E60">
        <w:rPr>
          <w:rFonts w:hint="cs"/>
          <w:rtl/>
          <w:lang w:bidi="he-IL"/>
        </w:rPr>
        <w:t>הרב שמואל דוב ווייס</w:t>
      </w:r>
    </w:p>
    <w:p w14:paraId="1AF045B6" w14:textId="6694602E" w:rsidR="003E5E60" w:rsidRPr="003E5E60" w:rsidRDefault="003E5E60" w:rsidP="003E5E60">
      <w:pPr>
        <w:jc w:val="center"/>
        <w:rPr>
          <w:rFonts w:cs="Arial"/>
          <w:b/>
          <w:bCs/>
          <w:sz w:val="24"/>
          <w:szCs w:val="24"/>
          <w:u w:val="single"/>
          <w:rtl/>
          <w:lang w:bidi="he-IL"/>
        </w:rPr>
      </w:pPr>
      <w:bookmarkStart w:id="0" w:name="_Hlk99977879"/>
      <w:r w:rsidRPr="003E5E60">
        <w:rPr>
          <w:rFonts w:cs="Arial" w:hint="cs"/>
          <w:b/>
          <w:bCs/>
          <w:sz w:val="26"/>
          <w:szCs w:val="26"/>
          <w:u w:val="single"/>
          <w:rtl/>
          <w:lang w:bidi="he-IL"/>
        </w:rPr>
        <w:t>'כאשר זמם' ולא כאשר עשה</w:t>
      </w:r>
      <w:r w:rsidRPr="003E5E60">
        <w:rPr>
          <w:rFonts w:cs="Arial" w:hint="cs"/>
          <w:sz w:val="28"/>
          <w:szCs w:val="28"/>
          <w:rtl/>
          <w:lang w:bidi="he-IL"/>
        </w:rPr>
        <w:t xml:space="preserve"> </w:t>
      </w:r>
      <w:r w:rsidRPr="003E5E60">
        <w:rPr>
          <w:rFonts w:cs="Arial" w:hint="cs"/>
          <w:sz w:val="24"/>
          <w:szCs w:val="24"/>
          <w:rtl/>
          <w:lang w:bidi="he-IL"/>
        </w:rPr>
        <w:t>(#</w:t>
      </w:r>
      <w:r>
        <w:rPr>
          <w:rFonts w:cs="Arial" w:hint="cs"/>
          <w:sz w:val="24"/>
          <w:szCs w:val="24"/>
          <w:rtl/>
          <w:lang w:bidi="he-IL"/>
        </w:rPr>
        <w:t>2</w:t>
      </w:r>
      <w:r w:rsidRPr="003E5E60">
        <w:rPr>
          <w:rFonts w:cs="Arial" w:hint="cs"/>
          <w:sz w:val="24"/>
          <w:szCs w:val="24"/>
          <w:rtl/>
          <w:lang w:bidi="he-IL"/>
        </w:rPr>
        <w:t>)</w:t>
      </w:r>
    </w:p>
    <w:bookmarkEnd w:id="0"/>
    <w:p w14:paraId="0EAF147D" w14:textId="159390E1" w:rsidR="003E5E60" w:rsidRDefault="003E5E60" w:rsidP="003E5E60">
      <w:pPr>
        <w:jc w:val="right"/>
        <w:rPr>
          <w:rFonts w:cs="Arial"/>
          <w:vertAlign w:val="superscript"/>
          <w:rtl/>
          <w:lang w:bidi="he-IL"/>
        </w:rPr>
      </w:pPr>
      <w:r w:rsidRPr="003E5E60">
        <w:rPr>
          <w:rFonts w:cs="Arial" w:hint="cs"/>
          <w:u w:val="single"/>
          <w:rtl/>
          <w:lang w:bidi="he-IL"/>
        </w:rPr>
        <w:t>היקף הדין</w:t>
      </w:r>
    </w:p>
    <w:p w14:paraId="714B4C81" w14:textId="77777777" w:rsidR="00935B09" w:rsidRPr="00935B09" w:rsidRDefault="00935B09" w:rsidP="00935B09">
      <w:pPr>
        <w:jc w:val="right"/>
        <w:rPr>
          <w:rFonts w:cs="Arial"/>
          <w:rtl/>
          <w:lang w:bidi="he-IL"/>
        </w:rPr>
      </w:pPr>
      <w:r w:rsidRPr="00935B09">
        <w:rPr>
          <w:rFonts w:cs="Arial" w:hint="cs"/>
          <w:b/>
          <w:bCs/>
          <w:rtl/>
          <w:lang w:bidi="he-IL"/>
        </w:rPr>
        <w:t>גמ'</w:t>
      </w:r>
      <w:r w:rsidRPr="00935B09">
        <w:rPr>
          <w:rFonts w:cs="Arial" w:hint="cs"/>
          <w:rtl/>
          <w:lang w:bidi="he-IL"/>
        </w:rPr>
        <w:t xml:space="preserve"> ה: ["מתני' אין העדים... אתיא רוצח רוצח"], </w:t>
      </w:r>
      <w:r w:rsidRPr="00935B09">
        <w:rPr>
          <w:rFonts w:cs="Arial" w:hint="cs"/>
          <w:b/>
          <w:bCs/>
          <w:rtl/>
          <w:lang w:bidi="he-IL"/>
        </w:rPr>
        <w:t>רש"י</w:t>
      </w:r>
      <w:r w:rsidRPr="00935B09">
        <w:rPr>
          <w:rFonts w:cs="Arial" w:hint="cs"/>
          <w:rtl/>
          <w:lang w:bidi="he-IL"/>
        </w:rPr>
        <w:t xml:space="preserve"> שם</w:t>
      </w:r>
    </w:p>
    <w:p w14:paraId="70C2F329" w14:textId="5F2FD657" w:rsidR="00935B09" w:rsidRDefault="00935B09" w:rsidP="00935B09">
      <w:pPr>
        <w:jc w:val="right"/>
        <w:rPr>
          <w:rFonts w:cs="Arial"/>
          <w:rtl/>
          <w:lang w:bidi="he-IL"/>
        </w:rPr>
      </w:pPr>
      <w:r w:rsidRPr="00935B09">
        <w:rPr>
          <w:rFonts w:cs="Arial" w:hint="cs"/>
          <w:b/>
          <w:bCs/>
          <w:rtl/>
          <w:lang w:bidi="he-IL"/>
        </w:rPr>
        <w:t>תוספות</w:t>
      </w:r>
      <w:r w:rsidRPr="00935B09">
        <w:rPr>
          <w:rFonts w:cs="Arial" w:hint="cs"/>
          <w:rtl/>
          <w:lang w:bidi="he-IL"/>
        </w:rPr>
        <w:t xml:space="preserve"> שם (ד"ה חייבי מלקיות</w:t>
      </w:r>
      <w:r>
        <w:rPr>
          <w:rFonts w:cs="Arial" w:hint="cs"/>
          <w:rtl/>
          <w:lang w:bidi="he-IL"/>
        </w:rPr>
        <w:t>, חייבי גליות</w:t>
      </w:r>
      <w:r w:rsidRPr="00935B09">
        <w:rPr>
          <w:rFonts w:cs="Arial" w:hint="cs"/>
          <w:rtl/>
          <w:lang w:bidi="he-IL"/>
        </w:rPr>
        <w:t>)</w:t>
      </w:r>
    </w:p>
    <w:p w14:paraId="6F8D8BA1" w14:textId="024CC368" w:rsidR="004E2A2A" w:rsidRDefault="00935B09" w:rsidP="004E2A2A">
      <w:pPr>
        <w:jc w:val="right"/>
        <w:rPr>
          <w:rFonts w:cs="Arial"/>
          <w:rtl/>
          <w:lang w:bidi="he-IL"/>
        </w:rPr>
      </w:pPr>
      <w:r w:rsidRPr="00935B09">
        <w:rPr>
          <w:rFonts w:cs="Arial" w:hint="cs"/>
          <w:b/>
          <w:bCs/>
          <w:rtl/>
          <w:lang w:bidi="he-IL"/>
        </w:rPr>
        <w:t>רבינו חננאל</w:t>
      </w:r>
      <w:r>
        <w:rPr>
          <w:rFonts w:cs="Arial" w:hint="cs"/>
          <w:b/>
          <w:bCs/>
          <w:rtl/>
          <w:lang w:bidi="he-IL"/>
        </w:rPr>
        <w:t xml:space="preserve"> </w:t>
      </w:r>
      <w:r w:rsidRPr="00935B09">
        <w:rPr>
          <w:rFonts w:cs="Arial" w:hint="cs"/>
          <w:rtl/>
          <w:lang w:bidi="he-IL"/>
        </w:rPr>
        <w:t>ה:</w:t>
      </w:r>
      <w:r>
        <w:rPr>
          <w:rStyle w:val="FootnoteReference"/>
          <w:rFonts w:cs="Arial"/>
          <w:rtl/>
          <w:lang w:bidi="he-IL"/>
        </w:rPr>
        <w:footnoteReference w:id="1"/>
      </w:r>
      <w:r>
        <w:rPr>
          <w:rFonts w:cs="Arial" w:hint="cs"/>
          <w:rtl/>
          <w:lang w:bidi="he-IL"/>
        </w:rPr>
        <w:t xml:space="preserve"> (ד"ה </w:t>
      </w:r>
      <w:r w:rsidRPr="00935B09">
        <w:rPr>
          <w:rFonts w:cs="Arial" w:hint="cs"/>
          <w:rtl/>
          <w:lang w:bidi="he-IL"/>
        </w:rPr>
        <w:t>וכן בחייבי מלקיות</w:t>
      </w:r>
      <w:r>
        <w:rPr>
          <w:rFonts w:cs="Arial" w:hint="cs"/>
          <w:rtl/>
          <w:lang w:bidi="he-IL"/>
        </w:rPr>
        <w:t>)</w:t>
      </w:r>
    </w:p>
    <w:p w14:paraId="55F124C0" w14:textId="4B786D75" w:rsidR="008644ED" w:rsidRDefault="008644ED" w:rsidP="008644ED">
      <w:pPr>
        <w:jc w:val="right"/>
        <w:rPr>
          <w:rFonts w:cs="Arial"/>
          <w:rtl/>
          <w:lang w:bidi="he-IL"/>
        </w:rPr>
      </w:pPr>
      <w:r w:rsidRPr="008644ED">
        <w:rPr>
          <w:rFonts w:cs="Arial" w:hint="cs"/>
          <w:b/>
          <w:bCs/>
          <w:rtl/>
          <w:lang w:bidi="he-IL"/>
        </w:rPr>
        <w:t xml:space="preserve">גמ' </w:t>
      </w:r>
      <w:r w:rsidRPr="008644ED">
        <w:rPr>
          <w:rFonts w:cs="Arial" w:hint="cs"/>
          <w:rtl/>
          <w:lang w:bidi="he-IL"/>
        </w:rPr>
        <w:t xml:space="preserve">ב"ק ד: ["תני ר' חייא... ועדים זוממין"], </w:t>
      </w:r>
      <w:r w:rsidRPr="008644ED">
        <w:rPr>
          <w:rFonts w:cs="Arial" w:hint="cs"/>
          <w:b/>
          <w:bCs/>
          <w:rtl/>
          <w:lang w:bidi="he-IL"/>
        </w:rPr>
        <w:t>תוספות</w:t>
      </w:r>
      <w:r w:rsidRPr="008644ED">
        <w:rPr>
          <w:rFonts w:cs="Arial" w:hint="cs"/>
          <w:rtl/>
          <w:lang w:bidi="he-IL"/>
        </w:rPr>
        <w:t xml:space="preserve"> שם (ד"ה ועדים זוממין)</w:t>
      </w:r>
    </w:p>
    <w:p w14:paraId="660C01EF" w14:textId="64037869" w:rsidR="006126E5" w:rsidRPr="006126E5" w:rsidRDefault="00DF63DA" w:rsidP="008644ED">
      <w:pPr>
        <w:jc w:val="right"/>
        <w:rPr>
          <w:rFonts w:cs="Arial"/>
          <w:b/>
          <w:bCs/>
          <w:lang w:bidi="he-IL"/>
        </w:rPr>
      </w:pPr>
      <w:r>
        <w:rPr>
          <w:rFonts w:cs="Arial" w:hint="cs"/>
          <w:b/>
          <w:bCs/>
          <w:rtl/>
          <w:lang w:bidi="he-IL"/>
        </w:rPr>
        <w:t>חי' ה</w:t>
      </w:r>
      <w:r w:rsidR="006126E5" w:rsidRPr="006126E5">
        <w:rPr>
          <w:rFonts w:cs="Arial" w:hint="cs"/>
          <w:b/>
          <w:bCs/>
          <w:rtl/>
          <w:lang w:bidi="he-IL"/>
        </w:rPr>
        <w:t>רשב"א</w:t>
      </w:r>
      <w:r w:rsidR="006126E5">
        <w:rPr>
          <w:rFonts w:cs="Arial" w:hint="cs"/>
          <w:b/>
          <w:bCs/>
          <w:rtl/>
          <w:lang w:bidi="he-IL"/>
        </w:rPr>
        <w:t xml:space="preserve"> </w:t>
      </w:r>
      <w:r w:rsidR="00115936">
        <w:rPr>
          <w:rFonts w:cs="Arial" w:hint="cs"/>
          <w:rtl/>
          <w:lang w:bidi="he-IL"/>
        </w:rPr>
        <w:t xml:space="preserve">ב"ק ה. (ד"ה עדים זוממין) </w:t>
      </w:r>
    </w:p>
    <w:p w14:paraId="01F7674E" w14:textId="074D0700" w:rsidR="00935B09" w:rsidRDefault="00935B09" w:rsidP="00935B09">
      <w:pPr>
        <w:jc w:val="right"/>
        <w:rPr>
          <w:rFonts w:cs="Arial"/>
          <w:rtl/>
          <w:lang w:bidi="he-IL"/>
        </w:rPr>
      </w:pPr>
      <w:r w:rsidRPr="00935B09">
        <w:rPr>
          <w:rFonts w:cs="Arial" w:hint="cs"/>
          <w:b/>
          <w:bCs/>
          <w:rtl/>
          <w:lang w:bidi="he-IL"/>
        </w:rPr>
        <w:t>רמב"ם</w:t>
      </w:r>
      <w:r w:rsidRPr="00935B09">
        <w:rPr>
          <w:rFonts w:cs="Arial" w:hint="cs"/>
          <w:rtl/>
          <w:lang w:bidi="he-IL"/>
        </w:rPr>
        <w:t xml:space="preserve"> הל' עדות (כ:ב)</w:t>
      </w:r>
      <w:r w:rsidR="001F5E79">
        <w:rPr>
          <w:rFonts w:cs="Arial" w:hint="cs"/>
          <w:rtl/>
          <w:lang w:bidi="he-IL"/>
        </w:rPr>
        <w:t>, ו</w:t>
      </w:r>
      <w:r w:rsidR="001F5E79" w:rsidRPr="001F5E79">
        <w:rPr>
          <w:rFonts w:cs="Arial" w:hint="cs"/>
          <w:b/>
          <w:bCs/>
          <w:rtl/>
          <w:lang w:bidi="he-IL"/>
        </w:rPr>
        <w:t>ראב"ד</w:t>
      </w:r>
      <w:r w:rsidR="001F5E79">
        <w:rPr>
          <w:rFonts w:cs="Arial" w:hint="cs"/>
          <w:rtl/>
          <w:lang w:bidi="he-IL"/>
        </w:rPr>
        <w:t xml:space="preserve"> שם</w:t>
      </w:r>
    </w:p>
    <w:p w14:paraId="31123C27" w14:textId="3518F285" w:rsidR="001F5E79" w:rsidRDefault="002D64BA" w:rsidP="00935B09">
      <w:pPr>
        <w:jc w:val="right"/>
        <w:rPr>
          <w:rFonts w:cs="Arial"/>
          <w:rtl/>
          <w:lang w:bidi="he-IL"/>
        </w:rPr>
      </w:pPr>
      <w:r w:rsidRPr="002D64BA">
        <w:rPr>
          <w:rFonts w:cs="Arial" w:hint="cs"/>
          <w:b/>
          <w:bCs/>
          <w:rtl/>
          <w:lang w:bidi="he-IL"/>
        </w:rPr>
        <w:t>כסף משנה</w:t>
      </w:r>
      <w:r>
        <w:rPr>
          <w:rFonts w:cs="Arial" w:hint="cs"/>
          <w:b/>
          <w:bCs/>
          <w:rtl/>
          <w:lang w:bidi="he-IL"/>
        </w:rPr>
        <w:t xml:space="preserve"> </w:t>
      </w:r>
      <w:r>
        <w:rPr>
          <w:rFonts w:cs="Arial" w:hint="cs"/>
          <w:rtl/>
          <w:lang w:bidi="he-IL"/>
        </w:rPr>
        <w:t>(ד"ה אבל אם לקה) [</w:t>
      </w:r>
      <w:r w:rsidR="008644ED">
        <w:rPr>
          <w:rFonts w:cs="Arial" w:hint="cs"/>
          <w:rtl/>
          <w:lang w:bidi="he-IL"/>
        </w:rPr>
        <w:t>עד</w:t>
      </w:r>
      <w:r>
        <w:rPr>
          <w:rFonts w:cs="Arial" w:hint="cs"/>
          <w:rtl/>
          <w:lang w:bidi="he-IL"/>
        </w:rPr>
        <w:t xml:space="preserve"> </w:t>
      </w:r>
      <w:r w:rsidR="008644ED">
        <w:rPr>
          <w:rFonts w:cs="Arial" w:hint="cs"/>
          <w:rtl/>
          <w:lang w:bidi="he-IL"/>
        </w:rPr>
        <w:t>"...</w:t>
      </w:r>
      <w:r>
        <w:rPr>
          <w:rFonts w:cs="Arial" w:hint="cs"/>
          <w:rtl/>
          <w:lang w:bidi="he-IL"/>
        </w:rPr>
        <w:t>הבבא נקט"]</w:t>
      </w:r>
    </w:p>
    <w:p w14:paraId="5F33EF4E" w14:textId="562CC883" w:rsidR="002D64BA" w:rsidRPr="002D64BA" w:rsidRDefault="002D64BA" w:rsidP="00935B09">
      <w:pPr>
        <w:jc w:val="right"/>
        <w:rPr>
          <w:rFonts w:cs="Arial"/>
          <w:rtl/>
          <w:lang w:bidi="he-IL"/>
        </w:rPr>
      </w:pPr>
      <w:r w:rsidRPr="002D64BA">
        <w:rPr>
          <w:rFonts w:cs="Arial" w:hint="cs"/>
          <w:b/>
          <w:bCs/>
          <w:rtl/>
          <w:lang w:bidi="he-IL"/>
        </w:rPr>
        <w:t>רדב"ז</w:t>
      </w:r>
      <w:r>
        <w:rPr>
          <w:rFonts w:cs="Arial" w:hint="cs"/>
          <w:rtl/>
          <w:lang w:bidi="he-IL"/>
        </w:rPr>
        <w:t xml:space="preserve"> שם (ד"ה אבל אם לקה) [עד "... הראב"ד ז"ל"]</w:t>
      </w:r>
    </w:p>
    <w:p w14:paraId="7D399C63" w14:textId="686CE358" w:rsidR="004E2A2A" w:rsidRDefault="004E2A2A" w:rsidP="00935B09">
      <w:pPr>
        <w:jc w:val="right"/>
        <w:rPr>
          <w:rFonts w:cs="Arial"/>
          <w:rtl/>
          <w:lang w:bidi="he-IL"/>
        </w:rPr>
      </w:pPr>
      <w:r w:rsidRPr="004E2A2A">
        <w:rPr>
          <w:rFonts w:cs="Arial" w:hint="cs"/>
          <w:b/>
          <w:bCs/>
          <w:rtl/>
          <w:lang w:bidi="he-IL"/>
        </w:rPr>
        <w:t>מאירי</w:t>
      </w:r>
      <w:r>
        <w:rPr>
          <w:rFonts w:cs="Arial" w:hint="cs"/>
          <w:rtl/>
          <w:lang w:bidi="he-IL"/>
        </w:rPr>
        <w:t xml:space="preserve"> ה: (ד"ה אמר המאירי אין העדים) [עד "...כמו שנבאר"]</w:t>
      </w:r>
    </w:p>
    <w:p w14:paraId="260C4186" w14:textId="77777777" w:rsidR="00203081" w:rsidRPr="00203081" w:rsidRDefault="00203081" w:rsidP="00203081">
      <w:pPr>
        <w:jc w:val="right"/>
        <w:rPr>
          <w:rFonts w:cs="Arial"/>
          <w:b/>
          <w:bCs/>
          <w:rtl/>
          <w:lang w:bidi="he-IL"/>
        </w:rPr>
      </w:pPr>
      <w:r w:rsidRPr="00203081">
        <w:rPr>
          <w:rFonts w:cs="Arial" w:hint="cs"/>
          <w:b/>
          <w:bCs/>
          <w:rtl/>
          <w:lang w:bidi="he-IL"/>
        </w:rPr>
        <w:t xml:space="preserve">גמ' </w:t>
      </w:r>
      <w:r w:rsidRPr="00203081">
        <w:rPr>
          <w:rFonts w:cs="Arial" w:hint="cs"/>
          <w:rtl/>
          <w:lang w:bidi="he-IL"/>
        </w:rPr>
        <w:t>ב: ["משום ר"ע אמרו וכו' מאי טעמא..." עד סוף העמוד], ו</w:t>
      </w:r>
      <w:r w:rsidRPr="00203081">
        <w:rPr>
          <w:rFonts w:cs="Arial" w:hint="cs"/>
          <w:b/>
          <w:bCs/>
          <w:rtl/>
          <w:lang w:bidi="he-IL"/>
        </w:rPr>
        <w:t>רש"י</w:t>
      </w:r>
      <w:r w:rsidRPr="00203081">
        <w:rPr>
          <w:rFonts w:cs="Arial" w:hint="cs"/>
          <w:rtl/>
          <w:lang w:bidi="he-IL"/>
        </w:rPr>
        <w:t xml:space="preserve"> שם</w:t>
      </w:r>
    </w:p>
    <w:p w14:paraId="6F18AD04" w14:textId="7112C6C7" w:rsidR="006126E5" w:rsidRDefault="00DF63DA" w:rsidP="00DF63DA">
      <w:pPr>
        <w:jc w:val="right"/>
        <w:rPr>
          <w:rFonts w:cs="Arial"/>
          <w:rtl/>
          <w:lang w:bidi="he-IL"/>
        </w:rPr>
      </w:pPr>
      <w:r w:rsidRPr="00DF63DA">
        <w:rPr>
          <w:rFonts w:cs="Arial" w:hint="cs"/>
          <w:b/>
          <w:bCs/>
          <w:rtl/>
          <w:lang w:bidi="he-IL"/>
        </w:rPr>
        <w:t>חי' ה</w:t>
      </w:r>
      <w:r w:rsidR="00203081" w:rsidRPr="00203081">
        <w:rPr>
          <w:rFonts w:cs="Arial" w:hint="cs"/>
          <w:b/>
          <w:bCs/>
          <w:rtl/>
          <w:lang w:bidi="he-IL"/>
        </w:rPr>
        <w:t>רמב"ן</w:t>
      </w:r>
      <w:r w:rsidR="00203081">
        <w:rPr>
          <w:rFonts w:cs="Arial" w:hint="cs"/>
          <w:rtl/>
          <w:lang w:bidi="he-IL"/>
        </w:rPr>
        <w:t xml:space="preserve"> שם</w:t>
      </w:r>
      <w:r w:rsidR="006126E5">
        <w:rPr>
          <w:rFonts w:cs="Arial" w:hint="cs"/>
          <w:rtl/>
          <w:lang w:bidi="he-IL"/>
        </w:rPr>
        <w:t xml:space="preserve"> (ד"ה תדע)</w:t>
      </w:r>
    </w:p>
    <w:p w14:paraId="2416CE90" w14:textId="0BA5BB91" w:rsidR="00DF63DA" w:rsidRPr="00DF63DA" w:rsidRDefault="00DF63DA" w:rsidP="00DF63DA">
      <w:pPr>
        <w:jc w:val="right"/>
        <w:rPr>
          <w:rtl/>
          <w:lang w:bidi="he-IL"/>
        </w:rPr>
      </w:pPr>
      <w:r w:rsidRPr="00DF63DA">
        <w:rPr>
          <w:rFonts w:cs="Arial" w:hint="cs"/>
          <w:b/>
          <w:bCs/>
          <w:rtl/>
          <w:lang w:bidi="he-IL"/>
        </w:rPr>
        <w:t>חי' הריטב"א</w:t>
      </w:r>
      <w:r>
        <w:rPr>
          <w:rFonts w:cs="Arial" w:hint="cs"/>
          <w:b/>
          <w:bCs/>
          <w:rtl/>
          <w:lang w:bidi="he-IL"/>
        </w:rPr>
        <w:t xml:space="preserve"> </w:t>
      </w:r>
      <w:r>
        <w:rPr>
          <w:rFonts w:hint="cs"/>
          <w:rtl/>
          <w:lang w:bidi="he-IL"/>
        </w:rPr>
        <w:t>שם (ד"ה תדע) ["ואיכא מרבותינו ז"ל..</w:t>
      </w:r>
      <w:r w:rsidR="00C54D6E">
        <w:rPr>
          <w:rFonts w:hint="cs"/>
          <w:rtl/>
          <w:lang w:bidi="he-IL"/>
        </w:rPr>
        <w:t xml:space="preserve"> ברור לפי שיטה זו</w:t>
      </w:r>
      <w:r>
        <w:rPr>
          <w:rFonts w:hint="cs"/>
          <w:rtl/>
          <w:lang w:bidi="he-IL"/>
        </w:rPr>
        <w:t>"]</w:t>
      </w:r>
    </w:p>
    <w:p w14:paraId="2E6044D9" w14:textId="5F0FDAE0" w:rsidR="00455304" w:rsidRDefault="00455304" w:rsidP="003A64BF">
      <w:pPr>
        <w:jc w:val="right"/>
        <w:rPr>
          <w:rFonts w:cs="Arial"/>
          <w:rtl/>
          <w:lang w:bidi="he-IL"/>
        </w:rPr>
      </w:pPr>
      <w:r w:rsidRPr="00455304">
        <w:rPr>
          <w:rFonts w:cs="Arial"/>
          <w:b/>
          <w:bCs/>
          <w:rtl/>
          <w:lang w:bidi="he-IL"/>
        </w:rPr>
        <w:t xml:space="preserve">חדושי ר' חיים הלוי </w:t>
      </w:r>
      <w:r w:rsidRPr="00455304">
        <w:rPr>
          <w:rFonts w:cs="Arial"/>
          <w:rtl/>
          <w:lang w:bidi="he-IL"/>
        </w:rPr>
        <w:t>הל</w:t>
      </w:r>
      <w:r>
        <w:rPr>
          <w:rFonts w:cs="Arial" w:hint="cs"/>
          <w:rtl/>
          <w:lang w:bidi="he-IL"/>
        </w:rPr>
        <w:t>'</w:t>
      </w:r>
      <w:r w:rsidRPr="00455304">
        <w:rPr>
          <w:rFonts w:cs="Arial"/>
          <w:rtl/>
          <w:lang w:bidi="he-IL"/>
        </w:rPr>
        <w:t xml:space="preserve"> עדות </w:t>
      </w:r>
      <w:r>
        <w:rPr>
          <w:rFonts w:cs="Arial" w:hint="cs"/>
          <w:rtl/>
          <w:lang w:bidi="he-IL"/>
        </w:rPr>
        <w:t>(</w:t>
      </w:r>
      <w:r w:rsidRPr="00455304">
        <w:rPr>
          <w:rFonts w:cs="Arial"/>
          <w:rtl/>
          <w:lang w:bidi="he-IL"/>
        </w:rPr>
        <w:t>כ</w:t>
      </w:r>
      <w:r>
        <w:rPr>
          <w:rFonts w:cs="Arial" w:hint="cs"/>
          <w:rtl/>
          <w:lang w:bidi="he-IL"/>
        </w:rPr>
        <w:t>:ב)</w:t>
      </w:r>
      <w:r>
        <w:rPr>
          <w:rStyle w:val="FootnoteReference"/>
          <w:rFonts w:cs="Arial"/>
          <w:rtl/>
          <w:lang w:bidi="he-IL"/>
        </w:rPr>
        <w:footnoteReference w:id="2"/>
      </w:r>
    </w:p>
    <w:p w14:paraId="7DC80C71" w14:textId="532B6B74" w:rsidR="003A64BF" w:rsidRDefault="003A64BF" w:rsidP="003A64BF">
      <w:pPr>
        <w:jc w:val="right"/>
        <w:rPr>
          <w:rFonts w:cs="Arial"/>
          <w:rtl/>
          <w:lang w:bidi="he-IL"/>
        </w:rPr>
      </w:pPr>
      <w:r w:rsidRPr="003A64BF">
        <w:rPr>
          <w:rFonts w:cs="Arial" w:hint="cs"/>
          <w:b/>
          <w:bCs/>
          <w:rtl/>
          <w:lang w:bidi="he-IL"/>
        </w:rPr>
        <w:t>רש"ש</w:t>
      </w:r>
      <w:r w:rsidRPr="003A64BF">
        <w:rPr>
          <w:rFonts w:cs="Arial" w:hint="cs"/>
          <w:rtl/>
          <w:lang w:bidi="he-IL"/>
        </w:rPr>
        <w:t xml:space="preserve"> שם</w:t>
      </w:r>
      <w:r w:rsidRPr="003A64BF">
        <w:rPr>
          <w:rFonts w:cs="Arial"/>
          <w:vertAlign w:val="superscript"/>
          <w:rtl/>
          <w:lang w:bidi="he-IL"/>
        </w:rPr>
        <w:footnoteReference w:id="3"/>
      </w:r>
    </w:p>
    <w:p w14:paraId="3D313633" w14:textId="76C219FA" w:rsidR="00203081" w:rsidRPr="00203081" w:rsidRDefault="00203081" w:rsidP="00203081">
      <w:pPr>
        <w:jc w:val="right"/>
        <w:rPr>
          <w:rFonts w:cs="Arial"/>
          <w:lang w:bidi="he-IL"/>
        </w:rPr>
      </w:pPr>
      <w:r w:rsidRPr="00203081">
        <w:rPr>
          <w:rFonts w:cs="Arial"/>
          <w:b/>
          <w:bCs/>
          <w:rtl/>
          <w:lang w:bidi="he-IL"/>
        </w:rPr>
        <w:t>חי</w:t>
      </w:r>
      <w:r w:rsidRPr="00203081">
        <w:rPr>
          <w:rFonts w:cs="Arial" w:hint="cs"/>
          <w:b/>
          <w:bCs/>
          <w:rtl/>
          <w:lang w:bidi="he-IL"/>
        </w:rPr>
        <w:t>'</w:t>
      </w:r>
      <w:r w:rsidRPr="00203081">
        <w:rPr>
          <w:rFonts w:cs="Arial"/>
          <w:b/>
          <w:bCs/>
          <w:rtl/>
          <w:lang w:bidi="he-IL"/>
        </w:rPr>
        <w:t xml:space="preserve"> הגרנ"ט</w:t>
      </w:r>
      <w:r w:rsidRPr="00203081">
        <w:rPr>
          <w:rFonts w:cs="Arial"/>
          <w:rtl/>
          <w:lang w:bidi="he-IL"/>
        </w:rPr>
        <w:t xml:space="preserve"> </w:t>
      </w:r>
      <w:r>
        <w:rPr>
          <w:rFonts w:cs="Arial" w:hint="cs"/>
          <w:rtl/>
          <w:lang w:bidi="he-IL"/>
        </w:rPr>
        <w:t>(</w:t>
      </w:r>
      <w:r w:rsidRPr="00203081">
        <w:rPr>
          <w:rFonts w:cs="Arial"/>
          <w:rtl/>
          <w:lang w:bidi="he-IL"/>
        </w:rPr>
        <w:t>ב</w:t>
      </w:r>
      <w:r>
        <w:rPr>
          <w:rFonts w:cs="Arial" w:hint="cs"/>
          <w:rtl/>
          <w:lang w:bidi="he-IL"/>
        </w:rPr>
        <w:t>"ק</w:t>
      </w:r>
      <w:r w:rsidRPr="00203081">
        <w:rPr>
          <w:rFonts w:cs="Arial"/>
          <w:rtl/>
          <w:lang w:bidi="he-IL"/>
        </w:rPr>
        <w:t xml:space="preserve"> סימן קי</w:t>
      </w:r>
      <w:r>
        <w:rPr>
          <w:rFonts w:cs="Arial" w:hint="cs"/>
          <w:rtl/>
          <w:lang w:bidi="he-IL"/>
        </w:rPr>
        <w:t>"</w:t>
      </w:r>
      <w:r w:rsidRPr="00203081">
        <w:rPr>
          <w:rFonts w:cs="Arial"/>
          <w:rtl/>
          <w:lang w:bidi="he-IL"/>
        </w:rPr>
        <w:t>ד</w:t>
      </w:r>
      <w:r>
        <w:rPr>
          <w:rFonts w:cs="Arial" w:hint="cs"/>
          <w:rtl/>
          <w:lang w:bidi="he-IL"/>
        </w:rPr>
        <w:t>)</w:t>
      </w:r>
      <w:r>
        <w:rPr>
          <w:rStyle w:val="FootnoteReference"/>
          <w:rFonts w:cs="Arial"/>
          <w:rtl/>
          <w:lang w:bidi="he-IL"/>
        </w:rPr>
        <w:footnoteReference w:id="4"/>
      </w:r>
    </w:p>
    <w:p w14:paraId="74A8D240" w14:textId="0B96C881" w:rsidR="00455304" w:rsidRDefault="00455304" w:rsidP="00935B09">
      <w:pPr>
        <w:jc w:val="right"/>
        <w:rPr>
          <w:rFonts w:cs="Arial"/>
          <w:rtl/>
          <w:lang w:bidi="he-IL"/>
        </w:rPr>
      </w:pPr>
    </w:p>
    <w:p w14:paraId="6CE985F5" w14:textId="77777777" w:rsidR="00455304" w:rsidRPr="00455304" w:rsidRDefault="00455304" w:rsidP="00455304">
      <w:pPr>
        <w:jc w:val="right"/>
        <w:rPr>
          <w:rFonts w:cs="Arial"/>
          <w:u w:val="single"/>
        </w:rPr>
      </w:pPr>
      <w:r w:rsidRPr="00455304">
        <w:rPr>
          <w:rFonts w:cs="Arial"/>
          <w:u w:val="single"/>
          <w:rtl/>
          <w:lang w:bidi="he-IL"/>
        </w:rPr>
        <w:t>חדושי ר' חיים הלוי הלכות עדות פרק כ הלכה ב</w:t>
      </w:r>
    </w:p>
    <w:p w14:paraId="60E41F35" w14:textId="5DC5FB82" w:rsidR="00455304" w:rsidRDefault="00455304" w:rsidP="00455304">
      <w:pPr>
        <w:jc w:val="right"/>
        <w:rPr>
          <w:rFonts w:cs="Arial"/>
          <w:rtl/>
          <w:lang w:bidi="he-IL"/>
        </w:rPr>
      </w:pPr>
      <w:r w:rsidRPr="00455304">
        <w:rPr>
          <w:rFonts w:cs="Arial"/>
          <w:rtl/>
          <w:lang w:bidi="he-IL"/>
        </w:rPr>
        <w:t>נהרג זה שהעידו עליו ואח"כ הוזמו אינן נהרגין וכו' אבל אם לקה זה שהעידו עליו לוקין עכ"ל</w:t>
      </w:r>
      <w:r>
        <w:rPr>
          <w:rFonts w:cs="Arial" w:hint="cs"/>
          <w:rtl/>
          <w:lang w:bidi="he-IL"/>
        </w:rPr>
        <w:t xml:space="preserve">. </w:t>
      </w:r>
      <w:r w:rsidRPr="00455304">
        <w:rPr>
          <w:rFonts w:cs="Arial"/>
          <w:rtl/>
          <w:lang w:bidi="he-IL"/>
        </w:rPr>
        <w:t>והראב"ד השיג על זה וכתב שלא כן הוא, וביאר הכסף משנה כוונתו דס"ל דמלקות שוה למיתה וגם במלקות אמרינן כאשר זמם ולא כאשר עשה, ובאמת צ"ע, דהרי גם חיובא דעדים זוממין במלקות הא הוי מהך קרא דכאשר זמם לעשות, ומאחר דדרשינן כאשר זמם לעשות ולא עשה, א"כ מהיכי תיתי נחייב במלקות גם בעשה, ועיין בתוס' ב"ק דף ד' שכתבו לענין ממון דחייבין גם בעשה, או משום דבממון עונשין מן הדין או משום דממון איתיה בחזרה, אשר כל זה לא שייך במלקות, וז"ל הרמב"ם שם וכן אם יצא הממון מיד זה ליד זה בעדותן חוזר לבעליו ומשלמין לו עכ"ל, אשר זה שכתב הכא הך דינא דהממון חוזר הוא כפי הנראה טעמא דאפשר בחזרה, ומשמע דאי לאו הכי הוה אמרינן גם גבי ממון הך דרשא דזמם ולא עשה, וצ"ע מאי שנא דבמלקות ס"ל להרמב"ם דחייבין גם בעשה</w:t>
      </w:r>
      <w:r>
        <w:rPr>
          <w:rFonts w:cs="Arial" w:hint="cs"/>
          <w:rtl/>
          <w:lang w:bidi="he-IL"/>
        </w:rPr>
        <w:t>.</w:t>
      </w:r>
    </w:p>
    <w:p w14:paraId="0F4E82DF" w14:textId="77777777" w:rsidR="00DF63DA" w:rsidRDefault="00DF63DA" w:rsidP="00455304">
      <w:pPr>
        <w:jc w:val="right"/>
        <w:rPr>
          <w:rFonts w:cs="Arial"/>
          <w:rtl/>
          <w:lang w:bidi="he-IL"/>
        </w:rPr>
      </w:pPr>
    </w:p>
    <w:p w14:paraId="427BCB13" w14:textId="77777777" w:rsidR="003A64BF" w:rsidRPr="003A64BF" w:rsidRDefault="003A64BF" w:rsidP="003A64BF">
      <w:pPr>
        <w:jc w:val="right"/>
        <w:rPr>
          <w:rFonts w:cs="Arial"/>
          <w:u w:val="single"/>
          <w:lang w:bidi="he-IL"/>
        </w:rPr>
      </w:pPr>
      <w:r w:rsidRPr="003A64BF">
        <w:rPr>
          <w:rFonts w:cs="Arial"/>
          <w:u w:val="single"/>
          <w:rtl/>
          <w:lang w:bidi="he-IL"/>
        </w:rPr>
        <w:lastRenderedPageBreak/>
        <w:t>רש"ש מסכת בבא קמא דף ד עמוד ב</w:t>
      </w:r>
    </w:p>
    <w:p w14:paraId="222A75B7" w14:textId="497F6B25" w:rsidR="003A64BF" w:rsidRDefault="003A64BF" w:rsidP="003A64BF">
      <w:pPr>
        <w:jc w:val="right"/>
        <w:rPr>
          <w:rFonts w:cs="Arial"/>
          <w:rtl/>
          <w:lang w:bidi="he-IL"/>
        </w:rPr>
      </w:pPr>
      <w:r w:rsidRPr="003A64BF">
        <w:rPr>
          <w:rFonts w:cs="Arial"/>
          <w:rtl/>
          <w:lang w:bidi="he-IL"/>
        </w:rPr>
        <w:t>ד"ה ועדים פי' ריב"א כו' נ"ל דהוצרכו לזה דאי אמרת דבממון נמי אמרי' ולא כאשר עשה א"כ ע"כ הוא קנסא ואיך יפלגו בזה ר"ע וחכמים ולפ"ז צ"ל עוד דאף אם אי אפשר בחזרה כגון שהלך למדה"י או שאין לו מ"מ מיקרי אפשר בחזרה כשיעשר או כשישוב לביתו ול</w:t>
      </w:r>
      <w:r w:rsidRPr="003A64BF">
        <w:rPr>
          <w:rFonts w:cs="Arial" w:hint="cs"/>
          <w:rtl/>
          <w:lang w:bidi="he-IL"/>
        </w:rPr>
        <w:t xml:space="preserve">א </w:t>
      </w:r>
      <w:r w:rsidRPr="003A64BF">
        <w:rPr>
          <w:rFonts w:cs="Arial"/>
          <w:rtl/>
          <w:lang w:bidi="he-IL"/>
        </w:rPr>
        <w:t>ד</w:t>
      </w:r>
      <w:r w:rsidRPr="003A64BF">
        <w:rPr>
          <w:rFonts w:cs="Arial" w:hint="cs"/>
          <w:rtl/>
          <w:lang w:bidi="he-IL"/>
        </w:rPr>
        <w:t>מי</w:t>
      </w:r>
      <w:r w:rsidRPr="003A64BF">
        <w:rPr>
          <w:rFonts w:cs="Arial"/>
          <w:rtl/>
          <w:lang w:bidi="he-IL"/>
        </w:rPr>
        <w:t xml:space="preserve"> להרגו דא"א בחזרה בשום ענין אולם עדיין מ</w:t>
      </w:r>
      <w:r w:rsidRPr="003A64BF">
        <w:rPr>
          <w:rFonts w:cs="Arial" w:hint="cs"/>
          <w:rtl/>
          <w:lang w:bidi="he-IL"/>
        </w:rPr>
        <w:t xml:space="preserve">ה </w:t>
      </w:r>
      <w:r w:rsidRPr="003A64BF">
        <w:rPr>
          <w:rFonts w:cs="Arial"/>
          <w:rtl/>
          <w:lang w:bidi="he-IL"/>
        </w:rPr>
        <w:t>ל</w:t>
      </w:r>
      <w:r w:rsidRPr="003A64BF">
        <w:rPr>
          <w:rFonts w:cs="Arial" w:hint="cs"/>
          <w:rtl/>
          <w:lang w:bidi="he-IL"/>
        </w:rPr>
        <w:t>י</w:t>
      </w:r>
      <w:r w:rsidRPr="003A64BF">
        <w:rPr>
          <w:rFonts w:cs="Arial"/>
          <w:rtl/>
          <w:lang w:bidi="he-IL"/>
        </w:rPr>
        <w:t xml:space="preserve"> במת ולא הניח אחריו מאומה ואולי דגם זה לא מיקרי כאשר עשה דהרי לא על ידם מת</w:t>
      </w:r>
      <w:r w:rsidRPr="003A64BF">
        <w:rPr>
          <w:rFonts w:cs="Arial" w:hint="cs"/>
          <w:rtl/>
          <w:lang w:bidi="he-IL"/>
        </w:rPr>
        <w:t>.</w:t>
      </w:r>
    </w:p>
    <w:p w14:paraId="42E9D063" w14:textId="77777777" w:rsidR="00203081" w:rsidRPr="00203081" w:rsidRDefault="00203081" w:rsidP="00203081">
      <w:pPr>
        <w:jc w:val="right"/>
        <w:rPr>
          <w:rFonts w:cs="Arial"/>
          <w:u w:val="single"/>
        </w:rPr>
      </w:pPr>
      <w:r w:rsidRPr="00203081">
        <w:rPr>
          <w:rFonts w:cs="Arial"/>
          <w:u w:val="single"/>
          <w:rtl/>
          <w:lang w:bidi="he-IL"/>
        </w:rPr>
        <w:t>חידושי הגרנ"ט מסכת בבא קמא סימן קיד</w:t>
      </w:r>
    </w:p>
    <w:p w14:paraId="383E3F30" w14:textId="4B432CF8" w:rsidR="00203081" w:rsidRPr="003A64BF" w:rsidRDefault="00203081" w:rsidP="00203081">
      <w:pPr>
        <w:jc w:val="right"/>
        <w:rPr>
          <w:rFonts w:cs="Arial"/>
          <w:rtl/>
          <w:lang w:bidi="he-IL"/>
        </w:rPr>
      </w:pPr>
      <w:r w:rsidRPr="00203081">
        <w:rPr>
          <w:rFonts w:cs="Arial"/>
          <w:rtl/>
          <w:lang w:bidi="he-IL"/>
        </w:rPr>
        <w:t>בתוד"ה ועדים זוממין, וז"ל: פירש ריב"א דאפילו שילם עפ"י העדים זוממין חייבין, דלא שייך בממון כאשר זמם ולא כאשר עשה דאפשר בחזרה, ור"י מפרש דלא צריך להאי טעמא דגבי ממון מחייבינן להו בק"ו דגבי ממון עונשים מן הדין וכו' עכ"ל ע"ש. והנה מה שפירש ריב"א משום דאפשר בחזרה, הביאור הוא דלאו דווקא היכא דהגובה נמצא לפנינו ואיכא לאישתלומי מיניה, אלא אפי' במקום שאינו לפנינו, מ"מ כיון שבמציאות ממון אפשר בחזרה לא שייך בזה הפטור דכאשר זמם ולא כאשר עשה</w:t>
      </w:r>
      <w:r w:rsidR="00DF63DA">
        <w:rPr>
          <w:rFonts w:cs="Arial" w:hint="cs"/>
          <w:rtl/>
          <w:lang w:bidi="he-IL"/>
        </w:rPr>
        <w:t>.</w:t>
      </w:r>
    </w:p>
    <w:p w14:paraId="528C949B" w14:textId="77777777" w:rsidR="003A64BF" w:rsidRDefault="003A64BF" w:rsidP="00455304">
      <w:pPr>
        <w:jc w:val="right"/>
        <w:rPr>
          <w:rFonts w:cs="Arial"/>
          <w:rtl/>
          <w:lang w:bidi="he-IL"/>
        </w:rPr>
      </w:pPr>
    </w:p>
    <w:p w14:paraId="4B361DB6" w14:textId="77777777" w:rsidR="001F5E79" w:rsidRDefault="001F5E79" w:rsidP="00935B09">
      <w:pPr>
        <w:jc w:val="right"/>
        <w:rPr>
          <w:rFonts w:cs="Arial"/>
          <w:rtl/>
          <w:lang w:bidi="he-IL"/>
        </w:rPr>
      </w:pPr>
    </w:p>
    <w:p w14:paraId="5929C7CD" w14:textId="77777777" w:rsidR="003E5E60" w:rsidRPr="003E5E60" w:rsidRDefault="003E5E60" w:rsidP="003E5E60">
      <w:pPr>
        <w:jc w:val="right"/>
        <w:rPr>
          <w:rFonts w:cs="Arial"/>
          <w:u w:val="single"/>
          <w:rtl/>
          <w:lang w:bidi="he-IL"/>
        </w:rPr>
      </w:pPr>
    </w:p>
    <w:p w14:paraId="2A9FAF02" w14:textId="77777777" w:rsidR="008530F9" w:rsidRDefault="00000000"/>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5F77" w14:textId="77777777" w:rsidR="00050F7E" w:rsidRDefault="00050F7E" w:rsidP="003E5E60">
      <w:pPr>
        <w:spacing w:after="0" w:line="240" w:lineRule="auto"/>
      </w:pPr>
      <w:r>
        <w:separator/>
      </w:r>
    </w:p>
  </w:endnote>
  <w:endnote w:type="continuationSeparator" w:id="0">
    <w:p w14:paraId="24136CFA" w14:textId="77777777" w:rsidR="00050F7E" w:rsidRDefault="00050F7E" w:rsidP="003E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169A" w14:textId="77777777" w:rsidR="00050F7E" w:rsidRDefault="00050F7E" w:rsidP="003E5E60">
      <w:pPr>
        <w:spacing w:after="0" w:line="240" w:lineRule="auto"/>
      </w:pPr>
      <w:r>
        <w:separator/>
      </w:r>
    </w:p>
  </w:footnote>
  <w:footnote w:type="continuationSeparator" w:id="0">
    <w:p w14:paraId="5FBB67A8" w14:textId="77777777" w:rsidR="00050F7E" w:rsidRDefault="00050F7E" w:rsidP="003E5E60">
      <w:pPr>
        <w:spacing w:after="0" w:line="240" w:lineRule="auto"/>
      </w:pPr>
      <w:r>
        <w:continuationSeparator/>
      </w:r>
    </w:p>
  </w:footnote>
  <w:footnote w:id="1">
    <w:p w14:paraId="122E78E9" w14:textId="1A837D8E" w:rsidR="00935B09" w:rsidRPr="00935B09" w:rsidRDefault="00935B09">
      <w:pPr>
        <w:pStyle w:val="FootnoteText"/>
        <w:rPr>
          <w:sz w:val="16"/>
          <w:szCs w:val="16"/>
          <w:rtl/>
          <w:lang w:bidi="he-IL"/>
        </w:rPr>
      </w:pPr>
      <w:r w:rsidRPr="00935B09">
        <w:rPr>
          <w:rStyle w:val="FootnoteReference"/>
          <w:sz w:val="16"/>
          <w:szCs w:val="16"/>
        </w:rPr>
        <w:footnoteRef/>
      </w:r>
      <w:r w:rsidRPr="00935B09">
        <w:rPr>
          <w:sz w:val="16"/>
          <w:szCs w:val="16"/>
        </w:rPr>
        <w:t xml:space="preserve"> </w:t>
      </w:r>
      <w:r w:rsidRPr="00935B09">
        <w:rPr>
          <w:sz w:val="16"/>
          <w:szCs w:val="16"/>
          <w:lang w:bidi="he-IL"/>
        </w:rPr>
        <w:t xml:space="preserve">In some </w:t>
      </w:r>
      <w:r w:rsidRPr="00935B09">
        <w:rPr>
          <w:rFonts w:hint="cs"/>
          <w:sz w:val="16"/>
          <w:szCs w:val="16"/>
          <w:rtl/>
          <w:lang w:bidi="he-IL"/>
        </w:rPr>
        <w:t>גמרות</w:t>
      </w:r>
      <w:r>
        <w:rPr>
          <w:sz w:val="16"/>
          <w:szCs w:val="16"/>
          <w:lang w:bidi="he-IL"/>
        </w:rPr>
        <w:t xml:space="preserve"> (such as </w:t>
      </w:r>
      <w:r>
        <w:rPr>
          <w:rFonts w:hint="cs"/>
          <w:sz w:val="16"/>
          <w:szCs w:val="16"/>
          <w:rtl/>
          <w:lang w:bidi="he-IL"/>
        </w:rPr>
        <w:t>מהדורת עוז והדר</w:t>
      </w:r>
      <w:r>
        <w:rPr>
          <w:sz w:val="16"/>
          <w:szCs w:val="16"/>
          <w:lang w:bidi="he-IL"/>
        </w:rPr>
        <w:t>)</w:t>
      </w:r>
      <w:r w:rsidRPr="00935B09">
        <w:rPr>
          <w:sz w:val="16"/>
          <w:szCs w:val="16"/>
          <w:lang w:bidi="he-IL"/>
        </w:rPr>
        <w:t xml:space="preserve">, this </w:t>
      </w:r>
      <w:r w:rsidRPr="00935B09">
        <w:rPr>
          <w:rFonts w:hint="cs"/>
          <w:sz w:val="16"/>
          <w:szCs w:val="16"/>
          <w:rtl/>
          <w:lang w:bidi="he-IL"/>
        </w:rPr>
        <w:t>ר"ח</w:t>
      </w:r>
      <w:r w:rsidRPr="00935B09">
        <w:rPr>
          <w:sz w:val="16"/>
          <w:szCs w:val="16"/>
          <w:lang w:bidi="he-IL"/>
        </w:rPr>
        <w:t xml:space="preserve"> is found on </w:t>
      </w:r>
      <w:r>
        <w:rPr>
          <w:rFonts w:hint="cs"/>
          <w:sz w:val="16"/>
          <w:szCs w:val="16"/>
          <w:rtl/>
          <w:lang w:bidi="he-IL"/>
        </w:rPr>
        <w:t xml:space="preserve">דף </w:t>
      </w:r>
      <w:r w:rsidRPr="00935B09">
        <w:rPr>
          <w:rFonts w:hint="cs"/>
          <w:sz w:val="16"/>
          <w:szCs w:val="16"/>
          <w:rtl/>
          <w:lang w:bidi="he-IL"/>
        </w:rPr>
        <w:t>ו.</w:t>
      </w:r>
    </w:p>
  </w:footnote>
  <w:footnote w:id="2">
    <w:p w14:paraId="107B17C4" w14:textId="34650148" w:rsidR="00455304" w:rsidRPr="00455304" w:rsidRDefault="00455304">
      <w:pPr>
        <w:pStyle w:val="FootnoteText"/>
        <w:rPr>
          <w:sz w:val="16"/>
          <w:szCs w:val="16"/>
          <w:lang w:bidi="he-IL"/>
        </w:rPr>
      </w:pPr>
      <w:r w:rsidRPr="00455304">
        <w:rPr>
          <w:rStyle w:val="FootnoteReference"/>
          <w:sz w:val="16"/>
          <w:szCs w:val="16"/>
        </w:rPr>
        <w:footnoteRef/>
      </w:r>
      <w:r w:rsidRPr="00455304">
        <w:rPr>
          <w:sz w:val="16"/>
          <w:szCs w:val="16"/>
        </w:rPr>
        <w:t xml:space="preserve"> </w:t>
      </w:r>
      <w:r w:rsidRPr="00455304">
        <w:rPr>
          <w:rFonts w:hint="cs"/>
          <w:sz w:val="16"/>
          <w:szCs w:val="16"/>
          <w:lang w:bidi="he-IL"/>
        </w:rPr>
        <w:t>S</w:t>
      </w:r>
      <w:r w:rsidRPr="00455304">
        <w:rPr>
          <w:sz w:val="16"/>
          <w:szCs w:val="16"/>
          <w:lang w:bidi="he-IL"/>
        </w:rPr>
        <w:t xml:space="preserve">ee below.  Today we are only focusing on the beginning of the piece </w:t>
      </w:r>
      <w:r>
        <w:rPr>
          <w:sz w:val="16"/>
          <w:szCs w:val="16"/>
          <w:lang w:bidi="he-IL"/>
        </w:rPr>
        <w:t xml:space="preserve">with a focus on Rav Chaim’s interpretation of the Rambam.  In future shiurim, we will learn the entire Rav Chaim to see how he understands the nature of the </w:t>
      </w:r>
      <w:r>
        <w:rPr>
          <w:rFonts w:hint="cs"/>
          <w:sz w:val="16"/>
          <w:szCs w:val="16"/>
          <w:rtl/>
          <w:lang w:bidi="he-IL"/>
        </w:rPr>
        <w:t>פטור</w:t>
      </w:r>
      <w:r>
        <w:rPr>
          <w:sz w:val="16"/>
          <w:szCs w:val="16"/>
          <w:lang w:bidi="he-IL"/>
        </w:rPr>
        <w:t xml:space="preserve"> of </w:t>
      </w:r>
      <w:r>
        <w:rPr>
          <w:rFonts w:hint="cs"/>
          <w:sz w:val="16"/>
          <w:szCs w:val="16"/>
          <w:rtl/>
          <w:lang w:bidi="he-IL"/>
        </w:rPr>
        <w:t>כאשר עשה</w:t>
      </w:r>
      <w:r>
        <w:rPr>
          <w:sz w:val="16"/>
          <w:szCs w:val="16"/>
          <w:lang w:bidi="he-IL"/>
        </w:rPr>
        <w:t>.</w:t>
      </w:r>
    </w:p>
  </w:footnote>
  <w:footnote w:id="3">
    <w:p w14:paraId="7E923D8A" w14:textId="77777777" w:rsidR="003A64BF" w:rsidRPr="009B171C" w:rsidRDefault="003A64BF" w:rsidP="003A64BF">
      <w:pPr>
        <w:pStyle w:val="FootnoteText"/>
        <w:rPr>
          <w:sz w:val="16"/>
          <w:szCs w:val="16"/>
          <w:lang w:bidi="he-IL"/>
        </w:rPr>
      </w:pPr>
      <w:r w:rsidRPr="009B171C">
        <w:rPr>
          <w:rStyle w:val="FootnoteReference"/>
          <w:sz w:val="16"/>
          <w:szCs w:val="16"/>
        </w:rPr>
        <w:footnoteRef/>
      </w:r>
      <w:r w:rsidRPr="009B171C">
        <w:rPr>
          <w:sz w:val="16"/>
          <w:szCs w:val="16"/>
        </w:rPr>
        <w:t xml:space="preserve"> </w:t>
      </w:r>
      <w:r w:rsidRPr="009B171C">
        <w:rPr>
          <w:rFonts w:hint="cs"/>
          <w:sz w:val="16"/>
          <w:szCs w:val="16"/>
          <w:lang w:bidi="he-IL"/>
        </w:rPr>
        <w:t>S</w:t>
      </w:r>
      <w:r w:rsidRPr="009B171C">
        <w:rPr>
          <w:sz w:val="16"/>
          <w:szCs w:val="16"/>
          <w:lang w:bidi="he-IL"/>
        </w:rPr>
        <w:t>ee below</w:t>
      </w:r>
    </w:p>
  </w:footnote>
  <w:footnote w:id="4">
    <w:p w14:paraId="0F6B8B34" w14:textId="4C97FBBB" w:rsidR="00203081" w:rsidRPr="00203081" w:rsidRDefault="00203081">
      <w:pPr>
        <w:pStyle w:val="FootnoteText"/>
        <w:rPr>
          <w:sz w:val="16"/>
          <w:szCs w:val="16"/>
          <w:lang w:bidi="he-IL"/>
        </w:rPr>
      </w:pPr>
      <w:r w:rsidRPr="00203081">
        <w:rPr>
          <w:rStyle w:val="FootnoteReference"/>
          <w:sz w:val="16"/>
          <w:szCs w:val="16"/>
        </w:rPr>
        <w:footnoteRef/>
      </w:r>
      <w:r w:rsidRPr="00203081">
        <w:rPr>
          <w:sz w:val="16"/>
          <w:szCs w:val="16"/>
        </w:rPr>
        <w:t xml:space="preserve"> </w:t>
      </w:r>
      <w:r w:rsidRPr="00203081">
        <w:rPr>
          <w:rFonts w:hint="cs"/>
          <w:sz w:val="16"/>
          <w:szCs w:val="16"/>
          <w:lang w:bidi="he-IL"/>
        </w:rPr>
        <w:t>S</w:t>
      </w:r>
      <w:r w:rsidRPr="00203081">
        <w:rPr>
          <w:sz w:val="16"/>
          <w:szCs w:val="16"/>
          <w:lang w:bidi="he-IL"/>
        </w:rPr>
        <w:t xml:space="preserve">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60"/>
    <w:rsid w:val="00050F7E"/>
    <w:rsid w:val="00115936"/>
    <w:rsid w:val="001F5E79"/>
    <w:rsid w:val="00203081"/>
    <w:rsid w:val="002D64BA"/>
    <w:rsid w:val="003A64BF"/>
    <w:rsid w:val="003E5E60"/>
    <w:rsid w:val="00455304"/>
    <w:rsid w:val="004E2A2A"/>
    <w:rsid w:val="005A7D41"/>
    <w:rsid w:val="006126E5"/>
    <w:rsid w:val="008644ED"/>
    <w:rsid w:val="008A1AE2"/>
    <w:rsid w:val="00935B09"/>
    <w:rsid w:val="009B171C"/>
    <w:rsid w:val="00A46F84"/>
    <w:rsid w:val="00C54D6E"/>
    <w:rsid w:val="00DF63DA"/>
    <w:rsid w:val="00F032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3890"/>
  <w15:chartTrackingRefBased/>
  <w15:docId w15:val="{89A9CB68-5094-4837-B817-2D18408D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E60"/>
    <w:rPr>
      <w:sz w:val="20"/>
      <w:szCs w:val="20"/>
    </w:rPr>
  </w:style>
  <w:style w:type="character" w:styleId="FootnoteReference">
    <w:name w:val="footnote reference"/>
    <w:basedOn w:val="DefaultParagraphFont"/>
    <w:uiPriority w:val="99"/>
    <w:semiHidden/>
    <w:unhideWhenUsed/>
    <w:rsid w:val="003E5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2022-07-17T18:29:00Z</dcterms:created>
  <dcterms:modified xsi:type="dcterms:W3CDTF">2022-07-18T18:26:00Z</dcterms:modified>
</cp:coreProperties>
</file>