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6033" w14:textId="77777777" w:rsidR="004545C2" w:rsidRPr="000E074C" w:rsidRDefault="004545C2" w:rsidP="004545C2">
      <w:pPr>
        <w:jc w:val="right"/>
        <w:rPr>
          <w:rtl/>
          <w:lang w:bidi="he-IL"/>
        </w:rPr>
      </w:pPr>
      <w:r w:rsidRPr="000E074C">
        <w:rPr>
          <w:rFonts w:hint="cs"/>
          <w:rtl/>
          <w:lang w:bidi="he-IL"/>
        </w:rPr>
        <w:t>הרב שמואל דוב ווייס</w:t>
      </w:r>
    </w:p>
    <w:p w14:paraId="782A6E19" w14:textId="42A51EEF" w:rsidR="004545C2" w:rsidRPr="000E074C" w:rsidRDefault="004545C2" w:rsidP="004545C2">
      <w:pPr>
        <w:jc w:val="center"/>
        <w:rPr>
          <w:rtl/>
          <w:lang w:bidi="he-IL"/>
        </w:rPr>
      </w:pPr>
      <w:r w:rsidRPr="000E074C">
        <w:rPr>
          <w:rFonts w:hint="cs"/>
          <w:b/>
          <w:bCs/>
          <w:sz w:val="30"/>
          <w:szCs w:val="30"/>
          <w:u w:val="single"/>
          <w:rtl/>
          <w:lang w:bidi="he-IL"/>
        </w:rPr>
        <w:t>הזמה</w:t>
      </w:r>
      <w:r w:rsidRPr="000E074C">
        <w:rPr>
          <w:rFonts w:hint="cs"/>
          <w:rtl/>
          <w:lang w:bidi="he-IL"/>
        </w:rPr>
        <w:t xml:space="preserve"> (#1</w:t>
      </w:r>
      <w:r>
        <w:rPr>
          <w:rFonts w:hint="cs"/>
          <w:rtl/>
          <w:lang w:bidi="he-IL"/>
        </w:rPr>
        <w:t>2</w:t>
      </w:r>
      <w:r w:rsidRPr="000E074C">
        <w:rPr>
          <w:rFonts w:hint="cs"/>
          <w:rtl/>
          <w:lang w:bidi="he-IL"/>
        </w:rPr>
        <w:t>)</w:t>
      </w:r>
    </w:p>
    <w:p w14:paraId="0ECEB2AA" w14:textId="53A0A079" w:rsidR="004545C2" w:rsidRDefault="004545C2" w:rsidP="004545C2">
      <w:pPr>
        <w:jc w:val="right"/>
        <w:rPr>
          <w:u w:val="single"/>
          <w:rtl/>
          <w:lang w:bidi="he-IL"/>
        </w:rPr>
      </w:pPr>
      <w:r>
        <w:rPr>
          <w:rFonts w:hint="cs"/>
          <w:u w:val="single"/>
          <w:rtl/>
          <w:lang w:bidi="he-IL"/>
        </w:rPr>
        <w:t>שעת חיובו של קנסות</w:t>
      </w:r>
    </w:p>
    <w:p w14:paraId="0CCB41D7" w14:textId="77777777" w:rsidR="004545C2" w:rsidRPr="00D032EE" w:rsidRDefault="004545C2" w:rsidP="004545C2">
      <w:pPr>
        <w:jc w:val="right"/>
        <w:rPr>
          <w:lang w:bidi="he-IL"/>
        </w:rPr>
      </w:pPr>
      <w:r w:rsidRPr="00D31DB0">
        <w:rPr>
          <w:rFonts w:hint="cs"/>
          <w:b/>
          <w:bCs/>
          <w:rtl/>
          <w:lang w:bidi="he-IL"/>
        </w:rPr>
        <w:t>קובץ שיעורים</w:t>
      </w:r>
      <w:r w:rsidRPr="00D31DB0">
        <w:rPr>
          <w:rFonts w:hint="cs"/>
          <w:rtl/>
          <w:lang w:bidi="he-IL"/>
        </w:rPr>
        <w:t xml:space="preserve"> (חלק ב' סימן י"ג אותיות א',ד'-ה')</w:t>
      </w:r>
      <w:r w:rsidRPr="00D31DB0">
        <w:rPr>
          <w:rStyle w:val="FootnoteReference"/>
          <w:rtl/>
          <w:lang w:bidi="he-IL"/>
        </w:rPr>
        <w:footnoteReference w:id="1"/>
      </w:r>
    </w:p>
    <w:p w14:paraId="54392024" w14:textId="3B4BA22F" w:rsidR="004545C2" w:rsidRDefault="00D9308A" w:rsidP="004545C2">
      <w:pPr>
        <w:jc w:val="right"/>
        <w:rPr>
          <w:u w:val="single"/>
          <w:rtl/>
          <w:lang w:bidi="he-IL"/>
        </w:rPr>
      </w:pPr>
      <w:r>
        <w:rPr>
          <w:rFonts w:hint="cs"/>
          <w:u w:val="single"/>
          <w:rtl/>
          <w:lang w:bidi="he-IL"/>
        </w:rPr>
        <w:t>זמן של עמנו הייתם</w:t>
      </w:r>
    </w:p>
    <w:p w14:paraId="5F99B6BF" w14:textId="48215B73" w:rsidR="00D9308A" w:rsidRDefault="00D9308A" w:rsidP="004545C2">
      <w:pPr>
        <w:jc w:val="right"/>
        <w:rPr>
          <w:rtl/>
          <w:lang w:bidi="he-IL"/>
        </w:rPr>
      </w:pPr>
      <w:r w:rsidRPr="00D9308A">
        <w:rPr>
          <w:rFonts w:hint="cs"/>
          <w:b/>
          <w:bCs/>
          <w:rtl/>
          <w:lang w:bidi="he-IL"/>
        </w:rPr>
        <w:t>משנה</w:t>
      </w:r>
      <w:r>
        <w:rPr>
          <w:rFonts w:hint="cs"/>
          <w:rtl/>
          <w:lang w:bidi="he-IL"/>
        </w:rPr>
        <w:t xml:space="preserve"> ה. ["אין העדים... על פיהם"], </w:t>
      </w:r>
      <w:r w:rsidRPr="00D9308A">
        <w:rPr>
          <w:rFonts w:hint="cs"/>
          <w:b/>
          <w:bCs/>
          <w:rtl/>
          <w:lang w:bidi="he-IL"/>
        </w:rPr>
        <w:t>גמ'</w:t>
      </w:r>
      <w:r>
        <w:rPr>
          <w:rFonts w:hint="cs"/>
          <w:b/>
          <w:bCs/>
          <w:rtl/>
          <w:lang w:bidi="he-IL"/>
        </w:rPr>
        <w:t xml:space="preserve"> </w:t>
      </w:r>
      <w:r w:rsidRPr="00D9308A">
        <w:rPr>
          <w:rFonts w:hint="cs"/>
          <w:rtl/>
          <w:lang w:bidi="he-IL"/>
        </w:rPr>
        <w:t>שם</w:t>
      </w:r>
      <w:r>
        <w:rPr>
          <w:rFonts w:hint="cs"/>
          <w:rtl/>
          <w:lang w:bidi="he-IL"/>
        </w:rPr>
        <w:t xml:space="preserve"> ["ואמר רבא באו שנים ואמרו בסורא... קמ"ל"], </w:t>
      </w:r>
      <w:r w:rsidRPr="00D9308A">
        <w:rPr>
          <w:rFonts w:hint="cs"/>
          <w:b/>
          <w:bCs/>
          <w:rtl/>
          <w:lang w:bidi="he-IL"/>
        </w:rPr>
        <w:t>רש"י</w:t>
      </w:r>
      <w:r>
        <w:rPr>
          <w:rFonts w:hint="cs"/>
          <w:rtl/>
          <w:lang w:bidi="he-IL"/>
        </w:rPr>
        <w:t xml:space="preserve"> שם</w:t>
      </w:r>
    </w:p>
    <w:p w14:paraId="42BE1CAD" w14:textId="6F56302A" w:rsidR="00D9308A" w:rsidRDefault="00D9308A" w:rsidP="004545C2">
      <w:pPr>
        <w:jc w:val="right"/>
        <w:rPr>
          <w:rtl/>
          <w:lang w:bidi="he-IL"/>
        </w:rPr>
      </w:pPr>
      <w:r w:rsidRPr="00D9308A">
        <w:rPr>
          <w:rFonts w:hint="cs"/>
          <w:b/>
          <w:bCs/>
          <w:rtl/>
          <w:lang w:bidi="he-IL"/>
        </w:rPr>
        <w:t>רמב"ם</w:t>
      </w:r>
      <w:r w:rsidR="00810B81">
        <w:rPr>
          <w:rFonts w:hint="cs"/>
          <w:b/>
          <w:bCs/>
          <w:rtl/>
          <w:lang w:bidi="he-IL"/>
        </w:rPr>
        <w:t xml:space="preserve"> </w:t>
      </w:r>
      <w:r w:rsidR="00810B81" w:rsidRPr="00810B81">
        <w:rPr>
          <w:rFonts w:hint="cs"/>
          <w:rtl/>
          <w:lang w:bidi="he-IL"/>
        </w:rPr>
        <w:t>הל'</w:t>
      </w:r>
      <w:r w:rsidR="00810B81">
        <w:rPr>
          <w:rFonts w:hint="cs"/>
          <w:rtl/>
          <w:lang w:bidi="he-IL"/>
        </w:rPr>
        <w:t xml:space="preserve"> עדות (י"ח:ב') </w:t>
      </w:r>
    </w:p>
    <w:p w14:paraId="5882A355" w14:textId="4A702277" w:rsidR="00810B81" w:rsidRDefault="00810B81" w:rsidP="004545C2">
      <w:pPr>
        <w:jc w:val="right"/>
        <w:rPr>
          <w:rtl/>
          <w:lang w:bidi="he-IL"/>
        </w:rPr>
      </w:pPr>
      <w:r w:rsidRPr="00810B81">
        <w:rPr>
          <w:rFonts w:hint="cs"/>
          <w:b/>
          <w:bCs/>
          <w:rtl/>
          <w:lang w:bidi="he-IL"/>
        </w:rPr>
        <w:t>רש"ש</w:t>
      </w:r>
      <w:r>
        <w:rPr>
          <w:rFonts w:hint="cs"/>
          <w:rtl/>
          <w:lang w:bidi="he-IL"/>
        </w:rPr>
        <w:t xml:space="preserve"> ה. (ד"ה שם משנה ב')</w:t>
      </w:r>
    </w:p>
    <w:p w14:paraId="4AE70642" w14:textId="6CFCCA1A" w:rsidR="00810B81" w:rsidRPr="0096134C" w:rsidRDefault="0096134C" w:rsidP="0096134C">
      <w:pPr>
        <w:jc w:val="right"/>
        <w:rPr>
          <w:rFonts w:hint="cs"/>
          <w:u w:val="single"/>
          <w:rtl/>
          <w:lang w:bidi="he-IL"/>
        </w:rPr>
      </w:pPr>
      <w:r w:rsidRPr="0096134C">
        <w:rPr>
          <w:rFonts w:hint="cs"/>
          <w:u w:val="single"/>
          <w:rtl/>
          <w:lang w:bidi="he-IL"/>
        </w:rPr>
        <w:t>"באו אחרים והזימום"</w:t>
      </w:r>
    </w:p>
    <w:p w14:paraId="1F2E9E95" w14:textId="08EAFF61" w:rsidR="004545C2" w:rsidRDefault="0096134C" w:rsidP="0096134C">
      <w:pPr>
        <w:jc w:val="right"/>
        <w:rPr>
          <w:rtl/>
          <w:lang w:bidi="he-IL"/>
        </w:rPr>
      </w:pPr>
      <w:r w:rsidRPr="0096134C">
        <w:rPr>
          <w:rFonts w:hint="cs"/>
          <w:b/>
          <w:bCs/>
          <w:rtl/>
          <w:lang w:bidi="he-IL"/>
        </w:rPr>
        <w:t>משנה</w:t>
      </w:r>
      <w:r w:rsidRPr="0096134C">
        <w:rPr>
          <w:rFonts w:hint="cs"/>
          <w:rtl/>
          <w:lang w:bidi="he-IL"/>
        </w:rPr>
        <w:t xml:space="preserve"> ה.</w:t>
      </w:r>
      <w:r>
        <w:rPr>
          <w:rFonts w:hint="cs"/>
          <w:rtl/>
          <w:lang w:bidi="he-IL"/>
        </w:rPr>
        <w:t xml:space="preserve"> ["</w:t>
      </w:r>
      <w:r w:rsidRPr="0096134C">
        <w:rPr>
          <w:rFonts w:hint="cs"/>
          <w:rtl/>
          <w:lang w:bidi="he-IL"/>
        </w:rPr>
        <w:t>באו אחרים והזימום...</w:t>
      </w:r>
      <w:r>
        <w:rPr>
          <w:rFonts w:hint="cs"/>
          <w:rtl/>
          <w:lang w:bidi="he-IL"/>
        </w:rPr>
        <w:t xml:space="preserve"> בלבד"], </w:t>
      </w:r>
      <w:r w:rsidRPr="0096134C">
        <w:rPr>
          <w:rFonts w:hint="cs"/>
          <w:b/>
          <w:bCs/>
          <w:rtl/>
          <w:lang w:bidi="he-IL"/>
        </w:rPr>
        <w:t>רש"י</w:t>
      </w:r>
      <w:r>
        <w:rPr>
          <w:rFonts w:hint="cs"/>
          <w:rtl/>
          <w:lang w:bidi="he-IL"/>
        </w:rPr>
        <w:t xml:space="preserve"> שם</w:t>
      </w:r>
    </w:p>
    <w:p w14:paraId="3A53D6A6" w14:textId="07C0E2A0" w:rsidR="0096134C" w:rsidRDefault="0096134C" w:rsidP="0096134C">
      <w:pPr>
        <w:jc w:val="right"/>
        <w:rPr>
          <w:rtl/>
          <w:lang w:bidi="he-IL"/>
        </w:rPr>
      </w:pPr>
      <w:r w:rsidRPr="0096134C">
        <w:rPr>
          <w:rFonts w:hint="cs"/>
          <w:b/>
          <w:bCs/>
          <w:rtl/>
          <w:lang w:bidi="he-IL"/>
        </w:rPr>
        <w:t>גמ'</w:t>
      </w:r>
      <w:r>
        <w:rPr>
          <w:rFonts w:hint="cs"/>
          <w:b/>
          <w:bCs/>
          <w:rtl/>
          <w:lang w:bidi="he-IL"/>
        </w:rPr>
        <w:t xml:space="preserve"> </w:t>
      </w:r>
      <w:r w:rsidRPr="0096134C">
        <w:rPr>
          <w:rFonts w:hint="cs"/>
          <w:rtl/>
          <w:lang w:bidi="he-IL"/>
        </w:rPr>
        <w:t>ה.</w:t>
      </w:r>
      <w:r>
        <w:rPr>
          <w:rFonts w:hint="cs"/>
          <w:rtl/>
          <w:lang w:bidi="he-IL"/>
        </w:rPr>
        <w:t xml:space="preserve"> ["רבי יהודה אומר..."] - ה: [עד משנה הבאה], </w:t>
      </w:r>
      <w:r w:rsidRPr="0096134C">
        <w:rPr>
          <w:rFonts w:hint="cs"/>
          <w:b/>
          <w:bCs/>
          <w:rtl/>
          <w:lang w:bidi="he-IL"/>
        </w:rPr>
        <w:t>רש"י</w:t>
      </w:r>
      <w:r>
        <w:rPr>
          <w:rFonts w:hint="cs"/>
          <w:rtl/>
          <w:lang w:bidi="he-IL"/>
        </w:rPr>
        <w:t xml:space="preserve"> שם</w:t>
      </w:r>
    </w:p>
    <w:p w14:paraId="0DC2D3E4" w14:textId="20531649" w:rsidR="008C6197" w:rsidRDefault="008C6197" w:rsidP="0096134C">
      <w:pPr>
        <w:jc w:val="right"/>
        <w:rPr>
          <w:rFonts w:cs="Arial"/>
          <w:rtl/>
          <w:lang w:bidi="he-IL"/>
        </w:rPr>
      </w:pPr>
      <w:r w:rsidRPr="008C6197">
        <w:rPr>
          <w:rFonts w:hint="cs"/>
          <w:b/>
          <w:bCs/>
          <w:rtl/>
          <w:lang w:bidi="he-IL"/>
        </w:rPr>
        <w:t>רי"ף</w:t>
      </w:r>
      <w:r>
        <w:rPr>
          <w:rFonts w:hint="cs"/>
          <w:b/>
          <w:bCs/>
          <w:rtl/>
          <w:lang w:bidi="he-IL"/>
        </w:rPr>
        <w:t xml:space="preserve"> </w:t>
      </w:r>
      <w:r w:rsidRPr="008C6197">
        <w:rPr>
          <w:rFonts w:hint="cs"/>
          <w:rtl/>
          <w:lang w:bidi="he-IL"/>
        </w:rPr>
        <w:t>ב.</w:t>
      </w:r>
      <w:r w:rsidR="006E4222">
        <w:rPr>
          <w:rStyle w:val="FootnoteReference"/>
          <w:rtl/>
          <w:lang w:bidi="he-IL"/>
        </w:rPr>
        <w:footnoteReference w:id="2"/>
      </w:r>
      <w:r>
        <w:rPr>
          <w:rFonts w:hint="cs"/>
          <w:rtl/>
          <w:lang w:bidi="he-IL"/>
        </w:rPr>
        <w:t xml:space="preserve"> (בדפיו) ["מתני' באו אחרים...</w:t>
      </w:r>
      <w:r w:rsidR="006E4222">
        <w:rPr>
          <w:rFonts w:hint="cs"/>
          <w:rtl/>
          <w:lang w:bidi="he-IL"/>
        </w:rPr>
        <w:t xml:space="preserve"> אלא </w:t>
      </w:r>
      <w:r w:rsidR="006E4222" w:rsidRPr="006E4222">
        <w:rPr>
          <w:rFonts w:cs="Arial"/>
          <w:rtl/>
          <w:lang w:bidi="he-IL"/>
        </w:rPr>
        <w:t>כדפרשינן</w:t>
      </w:r>
      <w:r w:rsidR="006E4222">
        <w:rPr>
          <w:rFonts w:cs="Arial" w:hint="cs"/>
          <w:rtl/>
          <w:lang w:bidi="he-IL"/>
        </w:rPr>
        <w:t>"]</w:t>
      </w:r>
    </w:p>
    <w:p w14:paraId="2E8AA358" w14:textId="1E155E77" w:rsidR="006E4222" w:rsidRDefault="006E4222" w:rsidP="0096134C">
      <w:pPr>
        <w:jc w:val="right"/>
        <w:rPr>
          <w:rFonts w:cs="Arial"/>
          <w:rtl/>
          <w:lang w:bidi="he-IL"/>
        </w:rPr>
      </w:pPr>
      <w:r w:rsidRPr="006E4222">
        <w:rPr>
          <w:rFonts w:cs="Arial" w:hint="cs"/>
          <w:b/>
          <w:bCs/>
          <w:rtl/>
          <w:lang w:bidi="he-IL"/>
        </w:rPr>
        <w:t>רמב"ם</w:t>
      </w:r>
      <w:r>
        <w:rPr>
          <w:rFonts w:cs="Arial" w:hint="cs"/>
          <w:b/>
          <w:bCs/>
          <w:rtl/>
          <w:lang w:bidi="he-IL"/>
        </w:rPr>
        <w:t xml:space="preserve"> </w:t>
      </w:r>
      <w:r w:rsidRPr="006E4222">
        <w:rPr>
          <w:rFonts w:cs="Arial" w:hint="cs"/>
          <w:rtl/>
          <w:lang w:bidi="he-IL"/>
        </w:rPr>
        <w:t>הל'</w:t>
      </w:r>
      <w:r>
        <w:rPr>
          <w:rFonts w:cs="Arial" w:hint="cs"/>
          <w:rtl/>
          <w:lang w:bidi="he-IL"/>
        </w:rPr>
        <w:t xml:space="preserve"> עדות (כ:ה), </w:t>
      </w:r>
      <w:r w:rsidRPr="006E4222">
        <w:rPr>
          <w:rFonts w:cs="Arial" w:hint="cs"/>
          <w:b/>
          <w:bCs/>
          <w:rtl/>
          <w:lang w:bidi="he-IL"/>
        </w:rPr>
        <w:t>וכסף משנה</w:t>
      </w:r>
      <w:r>
        <w:rPr>
          <w:rFonts w:cs="Arial" w:hint="cs"/>
          <w:rtl/>
          <w:lang w:bidi="he-IL"/>
        </w:rPr>
        <w:t xml:space="preserve"> שם</w:t>
      </w:r>
    </w:p>
    <w:p w14:paraId="34D5CDCD" w14:textId="2AB2469F" w:rsidR="006E4222" w:rsidRPr="006E4222" w:rsidRDefault="006E4222" w:rsidP="0096134C">
      <w:pPr>
        <w:jc w:val="right"/>
        <w:rPr>
          <w:rFonts w:hint="cs"/>
          <w:b/>
          <w:bCs/>
          <w:rtl/>
          <w:lang w:bidi="he-IL"/>
        </w:rPr>
      </w:pPr>
      <w:r w:rsidRPr="006E4222">
        <w:rPr>
          <w:rFonts w:cs="Arial" w:hint="cs"/>
          <w:b/>
          <w:bCs/>
          <w:rtl/>
          <w:lang w:bidi="he-IL"/>
        </w:rPr>
        <w:t>חי' הריטב"א</w:t>
      </w:r>
      <w:r>
        <w:rPr>
          <w:rFonts w:cs="Arial" w:hint="cs"/>
          <w:b/>
          <w:bCs/>
          <w:rtl/>
          <w:lang w:bidi="he-IL"/>
        </w:rPr>
        <w:t xml:space="preserve"> </w:t>
      </w:r>
      <w:r w:rsidRPr="006E4222">
        <w:rPr>
          <w:rFonts w:cs="Arial" w:hint="cs"/>
          <w:rtl/>
          <w:lang w:bidi="he-IL"/>
        </w:rPr>
        <w:t>ה.</w:t>
      </w:r>
      <w:r>
        <w:rPr>
          <w:rFonts w:cs="Arial" w:hint="cs"/>
          <w:rtl/>
          <w:lang w:bidi="he-IL"/>
        </w:rPr>
        <w:t xml:space="preserve"> (ד"ה מתני' באו אחרים</w:t>
      </w:r>
      <w:r w:rsidR="006E6A59">
        <w:rPr>
          <w:rFonts w:cs="Arial" w:hint="cs"/>
          <w:rtl/>
          <w:lang w:bidi="he-IL"/>
        </w:rPr>
        <w:t>) [עד "</w:t>
      </w:r>
      <w:r>
        <w:rPr>
          <w:rFonts w:cs="Arial" w:hint="cs"/>
          <w:rtl/>
          <w:lang w:bidi="he-IL"/>
        </w:rPr>
        <w:t>...המזמת הזאת</w:t>
      </w:r>
      <w:r w:rsidR="006E6A59">
        <w:rPr>
          <w:rFonts w:cs="Arial" w:hint="cs"/>
          <w:rtl/>
          <w:lang w:bidi="he-IL"/>
        </w:rPr>
        <w:t>"]</w:t>
      </w:r>
    </w:p>
    <w:p w14:paraId="74AE67E1" w14:textId="61D41BF8" w:rsidR="004545C2" w:rsidRDefault="004545C2" w:rsidP="004545C2">
      <w:pPr>
        <w:jc w:val="right"/>
        <w:rPr>
          <w:u w:val="single"/>
          <w:rtl/>
          <w:lang w:bidi="he-IL"/>
        </w:rPr>
      </w:pPr>
    </w:p>
    <w:p w14:paraId="797F2379" w14:textId="77777777" w:rsidR="004545C2" w:rsidRPr="008A3758" w:rsidRDefault="004545C2" w:rsidP="004545C2">
      <w:pPr>
        <w:jc w:val="right"/>
        <w:rPr>
          <w:u w:val="single"/>
        </w:rPr>
      </w:pPr>
      <w:r w:rsidRPr="008A3758">
        <w:rPr>
          <w:rFonts w:cs="Arial"/>
          <w:u w:val="single"/>
          <w:rtl/>
          <w:lang w:bidi="he-IL"/>
        </w:rPr>
        <w:t>קובץ שעורים חלק ב סימן יג</w:t>
      </w:r>
    </w:p>
    <w:p w14:paraId="1D80BEC9" w14:textId="77777777" w:rsidR="004545C2" w:rsidRDefault="004545C2" w:rsidP="004545C2">
      <w:pPr>
        <w:jc w:val="right"/>
      </w:pPr>
      <w:r>
        <w:rPr>
          <w:rFonts w:cs="Arial"/>
          <w:rtl/>
          <w:lang w:bidi="he-IL"/>
        </w:rPr>
        <w:t xml:space="preserve">א) פ"ק דמכות אמר רבא באו שנים </w:t>
      </w:r>
      <w:r>
        <w:rPr>
          <w:rFonts w:cs="Arial" w:hint="cs"/>
          <w:rtl/>
          <w:lang w:bidi="he-IL"/>
        </w:rPr>
        <w:t>...</w:t>
      </w:r>
      <w:r>
        <w:rPr>
          <w:rFonts w:cs="Arial"/>
          <w:rtl/>
          <w:lang w:bidi="he-IL"/>
        </w:rPr>
        <w:t xml:space="preserve"> וכתבו בתוס' שם </w:t>
      </w:r>
      <w:r>
        <w:rPr>
          <w:rFonts w:cs="Arial" w:hint="cs"/>
          <w:rtl/>
          <w:lang w:bidi="he-IL"/>
        </w:rPr>
        <w:t>...</w:t>
      </w:r>
      <w:r>
        <w:rPr>
          <w:rFonts w:cs="Arial"/>
          <w:rtl/>
          <w:lang w:bidi="he-IL"/>
        </w:rPr>
        <w:t xml:space="preserve"> עכ"ל. ולפי טעם זה א"כ מדאורייתא דבעינן דרישה וחקירה גם בדיני ממונות חשיב גברא לאו בר חיובא. והגרע"א בגליון תמה על דבריהם, למה הוצרכו לטעמא דדרישה וחקירה, דהא החילוק בין ממון לקנס מבואר דבממון לא איברו סהדי אלא לשקרי, וחל עליו החיוב תיכף משעשה המעשה, אבל בקנס ליכא חיובא כלל קודם גמ"ד, ואפילו לצאת ידי שמים אינו חייב. כמבואר בירושלמי ממעשה דר"ג וטבי עבדו שלא אמרו לשחררו לצאת ידי שמים</w:t>
      </w:r>
      <w:r>
        <w:rPr>
          <w:rFonts w:cs="Arial" w:hint="cs"/>
          <w:rtl/>
          <w:lang w:bidi="he-IL"/>
        </w:rPr>
        <w:t>.</w:t>
      </w:r>
    </w:p>
    <w:p w14:paraId="6F23F929" w14:textId="77777777" w:rsidR="004545C2" w:rsidRPr="00D31DB0" w:rsidRDefault="004545C2" w:rsidP="004545C2">
      <w:pPr>
        <w:jc w:val="right"/>
      </w:pPr>
      <w:r w:rsidRPr="00D31DB0">
        <w:rPr>
          <w:rFonts w:cs="Arial"/>
          <w:rtl/>
          <w:lang w:bidi="he-IL"/>
        </w:rPr>
        <w:t>ד) וז"ל הרמב"ם בשלהי מסכת שביעית אהא דתנן אונס ומפתה אין משמטין</w:t>
      </w:r>
      <w:r w:rsidRPr="00D31DB0">
        <w:rPr>
          <w:rFonts w:cs="Arial" w:hint="cs"/>
          <w:rtl/>
          <w:lang w:bidi="he-IL"/>
        </w:rPr>
        <w:t>:</w:t>
      </w:r>
      <w:r w:rsidRPr="00D31DB0">
        <w:rPr>
          <w:rFonts w:cs="Arial"/>
          <w:rtl/>
          <w:lang w:bidi="he-IL"/>
        </w:rPr>
        <w:t xml:space="preserve"> הקנסות אינן כשאר חובות, אבל הם חיובים שהאיש יתחייב בהן, והאיש ההוא לא יהיה פטור עד שיפרעם עכ"ל. ונראה פירוש דבריו דבאמת חיוב קנס חל עליו תיכף משהזיק כמו בממון אלא דהאי כדיניה והאי כדיניה, דבממון הוא חייב לשלם חובו להניזק, וכיון שנשמט חובו של הניזק</w:t>
      </w:r>
      <w:r w:rsidRPr="00D31DB0">
        <w:rPr>
          <w:rFonts w:cs="Arial" w:hint="cs"/>
          <w:rtl/>
          <w:lang w:bidi="he-IL"/>
        </w:rPr>
        <w:t xml:space="preserve"> [בשביעית]</w:t>
      </w:r>
      <w:r w:rsidRPr="00D31DB0">
        <w:rPr>
          <w:rFonts w:cs="Arial"/>
          <w:rtl/>
          <w:lang w:bidi="he-IL"/>
        </w:rPr>
        <w:t xml:space="preserve"> ממילא הוא פטור, דכל חיובו של הנתבע הוא מפני זכותו של התובע, אבל בקנס הוא להיפך דזכותו של התובע הוא מפני חיובו של הנתבע, שהוא חייב להיות נענש, כדכתיב בקרא וענשו אותו מאה כסף, וכמו בעונשי מלקות ומיתה אלא דבקנס עונשו הוא שיכפוהו ב"ד לשלם, אבל גוף חיובו הוא חיוב עונש, ובחיוב עונש לא שייך דין שביעית לפוטרו מעונש, וכיון שחיוב העונש נשאר עליו גם לאחר שביעית ממילא צריך </w:t>
      </w:r>
      <w:r w:rsidRPr="00D31DB0">
        <w:rPr>
          <w:rFonts w:cs="Arial" w:hint="cs"/>
          <w:rtl/>
          <w:lang w:bidi="he-IL"/>
        </w:rPr>
        <w:t xml:space="preserve">... </w:t>
      </w:r>
      <w:r w:rsidRPr="00D31DB0">
        <w:rPr>
          <w:rFonts w:cs="Arial"/>
          <w:rtl/>
          <w:lang w:bidi="he-IL"/>
        </w:rPr>
        <w:t xml:space="preserve">והא דפטור לצאת ידי שמים קודם גמ"ד, אין הטעם משום דאכתי לא נתחייב אלא אף על גב שכבר נתחייב לאלתר כשהיזיק אבל חיוב עונשו הוא שיכפוהו ב"ד לשלם ואם ישלם בלא ב"ד לא יהא נשלם עונשו בזה, ונמצא שאין זה הקנס שחייבתו תורה, ומתנה בעלמא הוא דיהיב ליה, וזה אינו חייב כלל לתת לו מתנות, אלא חיוב הקנס והעונש שיש עליו, ואם יתן בלא ב"ד, לא נענש בזה עונשו הראוי לו, והוא אין צריך לשלם רק אם ע"י התשלומין יהא נשלם עונשו וטעמא דמ"ד מודה בקנס ואח"כ באו עדים פטור, אינו משום דההודאה גורמת פטור, אלא דס"ל להך מ"ד, דלא נשלם עונשו, רק אם ישלם בע"כ נגד רצונו ושבירת רצונו הוא חלק מהעונש ואם ישלם ברצונו עדיין </w:t>
      </w:r>
      <w:r w:rsidRPr="00D31DB0">
        <w:rPr>
          <w:rFonts w:cs="Arial"/>
          <w:rtl/>
          <w:lang w:bidi="he-IL"/>
        </w:rPr>
        <w:lastRenderedPageBreak/>
        <w:t>לא נענש כראוי לו ונמצא לפ"ז דבעדות לבדה אי אפשר לחייבו רק בצירוף כפירת הנתבע כמ"ש הרמב"ם, אבל למ"ד מודה בקנס ואח"כ באו עדים חייב העונש נשלם במה שישלם ע"י ב"ד אפילו אם ישלם ברצונו</w:t>
      </w:r>
      <w:r w:rsidRPr="00D31DB0">
        <w:rPr>
          <w:rFonts w:cs="Arial" w:hint="cs"/>
          <w:rtl/>
          <w:lang w:bidi="he-IL"/>
        </w:rPr>
        <w:t>...</w:t>
      </w:r>
    </w:p>
    <w:p w14:paraId="521A996C" w14:textId="77777777" w:rsidR="004545C2" w:rsidRPr="00FC6F0D" w:rsidRDefault="004545C2" w:rsidP="004545C2">
      <w:pPr>
        <w:jc w:val="right"/>
        <w:rPr>
          <w:rFonts w:hint="cs"/>
          <w:lang w:bidi="he-IL"/>
        </w:rPr>
      </w:pPr>
      <w:r>
        <w:rPr>
          <w:rFonts w:cs="Arial"/>
          <w:rtl/>
          <w:lang w:bidi="he-IL"/>
        </w:rPr>
        <w:t xml:space="preserve">ה) וכן לענין דיני נפשות, החיוב חל עליו תיכף משעשה המעשה הוא מתחייב להיות מומת ע"פ ב"ד, ואף שההורגו קודם גמ"ד נהרג עליו היינו מפני שחיובו הוא שיהא נהרג ע"י גמ"ד מב"ד, אבל החיוב הזה חל עליו לאלתר </w:t>
      </w:r>
      <w:r>
        <w:rPr>
          <w:rFonts w:cs="Arial" w:hint="cs"/>
          <w:rtl/>
          <w:lang w:bidi="he-IL"/>
        </w:rPr>
        <w:t>...</w:t>
      </w:r>
      <w:r>
        <w:rPr>
          <w:rFonts w:cs="Arial"/>
          <w:rtl/>
          <w:lang w:bidi="he-IL"/>
        </w:rPr>
        <w:t xml:space="preserve"> וחיוב מיתה חל תיכף משעת עבירה, ונמצא דבין בקנס ובין בד"נ גברא בר חיובא הוא לאלתר כמו בממון וההבדל ביניהן הוא רק באיכות החיוב, דבממון חל עליו החיוב לשלם אף שלא בב"ד, ובקנס הוא מתחייב לאלתר לשלם ע"י כפית ב"ד דזה עונשו שיכופוהו ב"ד לשלם, וכן בד"נ הוא מתחייב תיכף שיהא מומת ע"י גמ"ד מב"ד</w:t>
      </w:r>
      <w:r>
        <w:rPr>
          <w:rFonts w:hint="cs"/>
          <w:rtl/>
          <w:lang w:bidi="he-IL"/>
        </w:rPr>
        <w:t>.</w:t>
      </w:r>
    </w:p>
    <w:p w14:paraId="2141F567" w14:textId="77777777" w:rsidR="004545C2" w:rsidRDefault="004545C2" w:rsidP="004545C2">
      <w:pPr>
        <w:jc w:val="right"/>
        <w:rPr>
          <w:u w:val="single"/>
          <w:rtl/>
          <w:lang w:bidi="he-IL"/>
        </w:rPr>
      </w:pPr>
    </w:p>
    <w:p w14:paraId="674F2E3C" w14:textId="77777777" w:rsidR="008530F9" w:rsidRDefault="00000000"/>
    <w:sectPr w:rsidR="008530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35F17" w14:textId="77777777" w:rsidR="00FA751F" w:rsidRDefault="00FA751F" w:rsidP="004545C2">
      <w:pPr>
        <w:spacing w:after="0" w:line="240" w:lineRule="auto"/>
      </w:pPr>
      <w:r>
        <w:separator/>
      </w:r>
    </w:p>
  </w:endnote>
  <w:endnote w:type="continuationSeparator" w:id="0">
    <w:p w14:paraId="1BE45564" w14:textId="77777777" w:rsidR="00FA751F" w:rsidRDefault="00FA751F" w:rsidP="0045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9435" w14:textId="77777777" w:rsidR="00FA751F" w:rsidRDefault="00FA751F" w:rsidP="004545C2">
      <w:pPr>
        <w:spacing w:after="0" w:line="240" w:lineRule="auto"/>
      </w:pPr>
      <w:r>
        <w:separator/>
      </w:r>
    </w:p>
  </w:footnote>
  <w:footnote w:type="continuationSeparator" w:id="0">
    <w:p w14:paraId="2E90A6DA" w14:textId="77777777" w:rsidR="00FA751F" w:rsidRDefault="00FA751F" w:rsidP="004545C2">
      <w:pPr>
        <w:spacing w:after="0" w:line="240" w:lineRule="auto"/>
      </w:pPr>
      <w:r>
        <w:continuationSeparator/>
      </w:r>
    </w:p>
  </w:footnote>
  <w:footnote w:id="1">
    <w:p w14:paraId="6CA97DA4" w14:textId="77777777" w:rsidR="004545C2" w:rsidRPr="00D34357" w:rsidRDefault="004545C2" w:rsidP="004545C2">
      <w:pPr>
        <w:pStyle w:val="FootnoteText"/>
        <w:rPr>
          <w:sz w:val="16"/>
          <w:szCs w:val="16"/>
          <w:lang w:bidi="he-IL"/>
        </w:rPr>
      </w:pPr>
      <w:r w:rsidRPr="00D34357">
        <w:rPr>
          <w:rStyle w:val="FootnoteReference"/>
          <w:sz w:val="16"/>
          <w:szCs w:val="16"/>
        </w:rPr>
        <w:footnoteRef/>
      </w:r>
      <w:r w:rsidRPr="00D34357">
        <w:rPr>
          <w:sz w:val="16"/>
          <w:szCs w:val="16"/>
        </w:rPr>
        <w:t xml:space="preserve"> </w:t>
      </w:r>
      <w:r w:rsidRPr="00D34357">
        <w:rPr>
          <w:rFonts w:hint="cs"/>
          <w:sz w:val="16"/>
          <w:szCs w:val="16"/>
          <w:lang w:bidi="he-IL"/>
        </w:rPr>
        <w:t>S</w:t>
      </w:r>
      <w:r w:rsidRPr="00D34357">
        <w:rPr>
          <w:sz w:val="16"/>
          <w:szCs w:val="16"/>
          <w:lang w:bidi="he-IL"/>
        </w:rPr>
        <w:t xml:space="preserve">ee below </w:t>
      </w:r>
    </w:p>
  </w:footnote>
  <w:footnote w:id="2">
    <w:p w14:paraId="7C4BAD1F" w14:textId="6284EBB3" w:rsidR="006E4222" w:rsidRPr="006E4222" w:rsidRDefault="006E4222">
      <w:pPr>
        <w:pStyle w:val="FootnoteText"/>
        <w:rPr>
          <w:rFonts w:hint="cs"/>
          <w:sz w:val="16"/>
          <w:szCs w:val="16"/>
          <w:rtl/>
          <w:lang w:bidi="he-IL"/>
        </w:rPr>
      </w:pPr>
      <w:r w:rsidRPr="006E4222">
        <w:rPr>
          <w:rStyle w:val="FootnoteReference"/>
          <w:sz w:val="16"/>
          <w:szCs w:val="16"/>
        </w:rPr>
        <w:footnoteRef/>
      </w:r>
      <w:r w:rsidRPr="006E4222">
        <w:rPr>
          <w:sz w:val="16"/>
          <w:szCs w:val="16"/>
        </w:rPr>
        <w:t xml:space="preserve"> </w:t>
      </w:r>
      <w:r w:rsidRPr="006E4222">
        <w:rPr>
          <w:rFonts w:hint="cs"/>
          <w:sz w:val="16"/>
          <w:szCs w:val="16"/>
          <w:rtl/>
          <w:lang w:bidi="he-IL"/>
        </w:rPr>
        <w:t>עמודים ג'-ה' במהדורת עוז והדר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C2"/>
    <w:rsid w:val="00137F58"/>
    <w:rsid w:val="004545C2"/>
    <w:rsid w:val="006E4222"/>
    <w:rsid w:val="006E6A59"/>
    <w:rsid w:val="00810B81"/>
    <w:rsid w:val="008A1AE2"/>
    <w:rsid w:val="008C6197"/>
    <w:rsid w:val="0096134C"/>
    <w:rsid w:val="00A46F84"/>
    <w:rsid w:val="00D9308A"/>
    <w:rsid w:val="00FA75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8A8AF"/>
  <w15:chartTrackingRefBased/>
  <w15:docId w15:val="{DD6C4B4E-64B1-48C0-B7E2-45CC1910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5C2"/>
    <w:rPr>
      <w:sz w:val="20"/>
      <w:szCs w:val="20"/>
    </w:rPr>
  </w:style>
  <w:style w:type="character" w:styleId="FootnoteReference">
    <w:name w:val="footnote reference"/>
    <w:basedOn w:val="DefaultParagraphFont"/>
    <w:uiPriority w:val="99"/>
    <w:semiHidden/>
    <w:unhideWhenUsed/>
    <w:rsid w:val="00454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cp:lastPrinted>2022-07-12T18:48:00Z</cp:lastPrinted>
  <dcterms:created xsi:type="dcterms:W3CDTF">2022-07-12T18:08:00Z</dcterms:created>
  <dcterms:modified xsi:type="dcterms:W3CDTF">2022-07-12T19:02:00Z</dcterms:modified>
</cp:coreProperties>
</file>