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CE54" w14:textId="77777777" w:rsidR="000E074C" w:rsidRPr="000E074C" w:rsidRDefault="000E074C" w:rsidP="000E074C">
      <w:pPr>
        <w:jc w:val="right"/>
        <w:rPr>
          <w:rtl/>
          <w:lang w:bidi="he-IL"/>
        </w:rPr>
      </w:pPr>
      <w:bookmarkStart w:id="0" w:name="_Hlk108527312"/>
      <w:r w:rsidRPr="000E074C">
        <w:rPr>
          <w:rFonts w:hint="cs"/>
          <w:rtl/>
          <w:lang w:bidi="he-IL"/>
        </w:rPr>
        <w:t>הרב שמואל דוב ווייס</w:t>
      </w:r>
    </w:p>
    <w:p w14:paraId="28644FA6" w14:textId="51118C85" w:rsidR="000E074C" w:rsidRPr="000E074C" w:rsidRDefault="000E074C" w:rsidP="000E074C">
      <w:pPr>
        <w:jc w:val="center"/>
        <w:rPr>
          <w:rtl/>
          <w:lang w:bidi="he-IL"/>
        </w:rPr>
      </w:pPr>
      <w:r w:rsidRPr="000E074C">
        <w:rPr>
          <w:rFonts w:hint="cs"/>
          <w:b/>
          <w:bCs/>
          <w:sz w:val="30"/>
          <w:szCs w:val="30"/>
          <w:u w:val="single"/>
          <w:rtl/>
          <w:lang w:bidi="he-IL"/>
        </w:rPr>
        <w:t>הזמה</w:t>
      </w:r>
      <w:r w:rsidRPr="000E074C">
        <w:rPr>
          <w:rFonts w:hint="cs"/>
          <w:rtl/>
          <w:lang w:bidi="he-IL"/>
        </w:rPr>
        <w:t xml:space="preserve"> (#1</w:t>
      </w:r>
      <w:r>
        <w:rPr>
          <w:rFonts w:hint="cs"/>
          <w:rtl/>
          <w:lang w:bidi="he-IL"/>
        </w:rPr>
        <w:t>1</w:t>
      </w:r>
      <w:r w:rsidRPr="000E074C">
        <w:rPr>
          <w:rFonts w:hint="cs"/>
          <w:rtl/>
          <w:lang w:bidi="he-IL"/>
        </w:rPr>
        <w:t>)</w:t>
      </w:r>
    </w:p>
    <w:p w14:paraId="1E21F301" w14:textId="176F6D61" w:rsidR="008530F9" w:rsidRDefault="00C33475" w:rsidP="000E074C">
      <w:pPr>
        <w:jc w:val="right"/>
        <w:rPr>
          <w:u w:val="single"/>
          <w:rtl/>
          <w:lang w:bidi="he-IL"/>
        </w:rPr>
      </w:pPr>
      <w:r>
        <w:rPr>
          <w:rFonts w:hint="cs"/>
          <w:u w:val="single"/>
          <w:rtl/>
          <w:lang w:bidi="he-IL"/>
        </w:rPr>
        <w:t xml:space="preserve">שעת חיובו </w:t>
      </w:r>
      <w:r w:rsidR="000E074C">
        <w:rPr>
          <w:rFonts w:hint="cs"/>
          <w:u w:val="single"/>
          <w:rtl/>
          <w:lang w:bidi="he-IL"/>
        </w:rPr>
        <w:t>של קנס</w:t>
      </w:r>
      <w:r w:rsidR="002E0728">
        <w:rPr>
          <w:rFonts w:hint="cs"/>
          <w:u w:val="single"/>
          <w:rtl/>
          <w:lang w:bidi="he-IL"/>
        </w:rPr>
        <w:t>ות</w:t>
      </w:r>
    </w:p>
    <w:bookmarkEnd w:id="0"/>
    <w:p w14:paraId="2AC1C205" w14:textId="7713DAF6" w:rsidR="00FC6F0D" w:rsidRPr="00FC6F0D" w:rsidRDefault="00FC6F0D" w:rsidP="00FC6F0D">
      <w:pPr>
        <w:jc w:val="right"/>
        <w:rPr>
          <w:rtl/>
          <w:lang w:bidi="he-IL"/>
        </w:rPr>
      </w:pPr>
      <w:r w:rsidRPr="00FC6F0D">
        <w:rPr>
          <w:rFonts w:hint="cs"/>
          <w:b/>
          <w:bCs/>
          <w:rtl/>
          <w:lang w:bidi="he-IL"/>
        </w:rPr>
        <w:t>משנה</w:t>
      </w:r>
      <w:r w:rsidRPr="00FC6F0D">
        <w:rPr>
          <w:rFonts w:hint="cs"/>
          <w:rtl/>
          <w:lang w:bidi="he-IL"/>
        </w:rPr>
        <w:t xml:space="preserve"> כתובות מא: ["נערה שנתפתתה... </w:t>
      </w:r>
      <w:r w:rsidR="00E76403">
        <w:rPr>
          <w:rFonts w:hint="cs"/>
          <w:rtl/>
          <w:lang w:bidi="he-IL"/>
        </w:rPr>
        <w:t xml:space="preserve">עד שבגרה הרי הן </w:t>
      </w:r>
      <w:r w:rsidRPr="00FC6F0D">
        <w:rPr>
          <w:rFonts w:hint="cs"/>
          <w:rtl/>
          <w:lang w:bidi="he-IL"/>
        </w:rPr>
        <w:t>של עצמה"], ו</w:t>
      </w:r>
      <w:r w:rsidRPr="00FC6F0D">
        <w:rPr>
          <w:rFonts w:hint="cs"/>
          <w:b/>
          <w:bCs/>
          <w:rtl/>
          <w:lang w:bidi="he-IL"/>
        </w:rPr>
        <w:t>רש"י</w:t>
      </w:r>
      <w:r w:rsidRPr="00FC6F0D">
        <w:rPr>
          <w:rFonts w:hint="cs"/>
          <w:rtl/>
          <w:lang w:bidi="he-IL"/>
        </w:rPr>
        <w:t xml:space="preserve"> שם</w:t>
      </w:r>
    </w:p>
    <w:p w14:paraId="663D0052" w14:textId="77777777" w:rsidR="00FC6F0D" w:rsidRPr="00FC6F0D" w:rsidRDefault="00FC6F0D" w:rsidP="00FC6F0D">
      <w:pPr>
        <w:jc w:val="right"/>
        <w:rPr>
          <w:rtl/>
          <w:lang w:bidi="he-IL"/>
        </w:rPr>
      </w:pPr>
      <w:r w:rsidRPr="00FC6F0D">
        <w:rPr>
          <w:rFonts w:hint="cs"/>
          <w:b/>
          <w:bCs/>
          <w:rtl/>
          <w:lang w:bidi="he-IL"/>
        </w:rPr>
        <w:t>גמ'</w:t>
      </w:r>
      <w:r w:rsidRPr="00FC6F0D">
        <w:rPr>
          <w:rFonts w:hint="cs"/>
          <w:rtl/>
          <w:lang w:bidi="he-IL"/>
        </w:rPr>
        <w:t xml:space="preserve"> ב"מ צא. ["ת"ר החוסם את הפרה... בא על אמו"], ו</w:t>
      </w:r>
      <w:r w:rsidRPr="00FC6F0D">
        <w:rPr>
          <w:rFonts w:hint="cs"/>
          <w:b/>
          <w:bCs/>
          <w:rtl/>
          <w:lang w:bidi="he-IL"/>
        </w:rPr>
        <w:t>רש"י</w:t>
      </w:r>
      <w:r w:rsidRPr="00FC6F0D">
        <w:rPr>
          <w:rFonts w:hint="cs"/>
          <w:rtl/>
          <w:lang w:bidi="he-IL"/>
        </w:rPr>
        <w:t xml:space="preserve"> שם</w:t>
      </w:r>
    </w:p>
    <w:p w14:paraId="4D424712" w14:textId="77777777" w:rsidR="00FC6F0D" w:rsidRPr="00FC6F0D" w:rsidRDefault="00FC6F0D" w:rsidP="00FC6F0D">
      <w:pPr>
        <w:jc w:val="right"/>
        <w:rPr>
          <w:rtl/>
          <w:lang w:bidi="he-IL"/>
        </w:rPr>
      </w:pPr>
      <w:r w:rsidRPr="00FC6F0D">
        <w:rPr>
          <w:rFonts w:hint="cs"/>
          <w:b/>
          <w:bCs/>
          <w:rtl/>
          <w:lang w:bidi="he-IL"/>
        </w:rPr>
        <w:t xml:space="preserve">גמ' </w:t>
      </w:r>
      <w:r w:rsidRPr="00FC6F0D">
        <w:rPr>
          <w:rFonts w:hint="cs"/>
          <w:rtl/>
          <w:lang w:bidi="he-IL"/>
        </w:rPr>
        <w:t>כתובות לג: ["לאו משום דלא מיחייב... מיניה"]</w:t>
      </w:r>
      <w:r w:rsidRPr="00FC6F0D">
        <w:rPr>
          <w:vertAlign w:val="superscript"/>
          <w:rtl/>
          <w:lang w:bidi="he-IL"/>
        </w:rPr>
        <w:footnoteReference w:id="1"/>
      </w:r>
      <w:r w:rsidRPr="00FC6F0D">
        <w:rPr>
          <w:rFonts w:hint="cs"/>
          <w:rtl/>
          <w:lang w:bidi="he-IL"/>
        </w:rPr>
        <w:t>, ו</w:t>
      </w:r>
      <w:r w:rsidRPr="00FC6F0D">
        <w:rPr>
          <w:rFonts w:hint="cs"/>
          <w:b/>
          <w:bCs/>
          <w:rtl/>
          <w:lang w:bidi="he-IL"/>
        </w:rPr>
        <w:t>רש"י</w:t>
      </w:r>
      <w:r w:rsidRPr="00FC6F0D">
        <w:rPr>
          <w:rFonts w:hint="cs"/>
          <w:rtl/>
          <w:lang w:bidi="he-IL"/>
        </w:rPr>
        <w:t xml:space="preserve"> שם (ד"ה לאו משום)</w:t>
      </w:r>
    </w:p>
    <w:p w14:paraId="02AD4BFE" w14:textId="77777777" w:rsidR="00FC6F0D" w:rsidRPr="00FC6F0D" w:rsidRDefault="00FC6F0D" w:rsidP="00FC6F0D">
      <w:pPr>
        <w:jc w:val="right"/>
        <w:rPr>
          <w:rtl/>
          <w:lang w:bidi="he-IL"/>
        </w:rPr>
      </w:pPr>
      <w:r w:rsidRPr="00FC6F0D">
        <w:rPr>
          <w:rFonts w:hint="cs"/>
          <w:b/>
          <w:bCs/>
          <w:rtl/>
          <w:lang w:bidi="he-IL"/>
        </w:rPr>
        <w:t xml:space="preserve">תוספות </w:t>
      </w:r>
      <w:r w:rsidRPr="00FC6F0D">
        <w:rPr>
          <w:rFonts w:hint="cs"/>
          <w:rtl/>
          <w:lang w:bidi="he-IL"/>
        </w:rPr>
        <w:t>שם (ד"ה לאו משום) [עד "...למרשיע עצמו"]</w:t>
      </w:r>
    </w:p>
    <w:p w14:paraId="4D490991" w14:textId="6A24D450" w:rsidR="00FC6F0D" w:rsidRDefault="00FC6F0D" w:rsidP="00FC6F0D">
      <w:pPr>
        <w:jc w:val="right"/>
        <w:rPr>
          <w:rtl/>
          <w:lang w:bidi="he-IL"/>
        </w:rPr>
      </w:pPr>
      <w:r w:rsidRPr="00FC6F0D">
        <w:rPr>
          <w:b/>
          <w:bCs/>
          <w:rtl/>
          <w:lang w:bidi="he-IL"/>
        </w:rPr>
        <w:t>תלמוד ירושלמי</w:t>
      </w:r>
      <w:r w:rsidRPr="00FC6F0D">
        <w:rPr>
          <w:rtl/>
          <w:lang w:bidi="he-IL"/>
        </w:rPr>
        <w:t xml:space="preserve"> שבועות </w:t>
      </w:r>
      <w:r w:rsidRPr="00FC6F0D">
        <w:rPr>
          <w:rFonts w:hint="cs"/>
          <w:rtl/>
          <w:lang w:bidi="he-IL"/>
        </w:rPr>
        <w:t>(</w:t>
      </w:r>
      <w:r w:rsidRPr="00FC6F0D">
        <w:rPr>
          <w:rtl/>
          <w:lang w:bidi="he-IL"/>
        </w:rPr>
        <w:t>פרק ה</w:t>
      </w:r>
      <w:r w:rsidRPr="00FC6F0D">
        <w:rPr>
          <w:rFonts w:hint="cs"/>
          <w:rtl/>
          <w:lang w:bidi="he-IL"/>
        </w:rPr>
        <w:t>'</w:t>
      </w:r>
      <w:r w:rsidRPr="00FC6F0D">
        <w:rPr>
          <w:rtl/>
          <w:lang w:bidi="he-IL"/>
        </w:rPr>
        <w:t xml:space="preserve"> הלכה ו</w:t>
      </w:r>
      <w:r w:rsidRPr="00FC6F0D">
        <w:rPr>
          <w:rFonts w:hint="cs"/>
          <w:rtl/>
          <w:lang w:bidi="he-IL"/>
        </w:rPr>
        <w:t>'), ו</w:t>
      </w:r>
      <w:r w:rsidRPr="00FC6F0D">
        <w:rPr>
          <w:rFonts w:hint="cs"/>
          <w:b/>
          <w:bCs/>
          <w:rtl/>
          <w:lang w:bidi="he-IL"/>
        </w:rPr>
        <w:t>פני משה</w:t>
      </w:r>
      <w:r w:rsidRPr="00FC6F0D">
        <w:rPr>
          <w:rFonts w:hint="cs"/>
          <w:rtl/>
          <w:lang w:bidi="he-IL"/>
        </w:rPr>
        <w:t xml:space="preserve"> שם</w:t>
      </w:r>
      <w:r w:rsidRPr="00FC6F0D">
        <w:rPr>
          <w:vertAlign w:val="superscript"/>
          <w:rtl/>
          <w:lang w:bidi="he-IL"/>
        </w:rPr>
        <w:footnoteReference w:id="2"/>
      </w:r>
    </w:p>
    <w:p w14:paraId="21F1DFC6" w14:textId="0DAB7875" w:rsidR="00B92B07" w:rsidRDefault="00B92B07" w:rsidP="00FC6F0D">
      <w:pPr>
        <w:jc w:val="right"/>
        <w:rPr>
          <w:rtl/>
          <w:lang w:bidi="he-IL"/>
        </w:rPr>
      </w:pPr>
      <w:r w:rsidRPr="00B92B07">
        <w:rPr>
          <w:rFonts w:hint="cs"/>
          <w:b/>
          <w:bCs/>
          <w:rtl/>
          <w:lang w:bidi="he-IL"/>
        </w:rPr>
        <w:t>גמ'</w:t>
      </w:r>
      <w:r>
        <w:rPr>
          <w:rFonts w:hint="cs"/>
          <w:b/>
          <w:bCs/>
          <w:rtl/>
          <w:lang w:bidi="he-IL"/>
        </w:rPr>
        <w:t xml:space="preserve"> </w:t>
      </w:r>
      <w:r w:rsidRPr="00B92B07">
        <w:rPr>
          <w:rFonts w:hint="cs"/>
          <w:rtl/>
          <w:lang w:bidi="he-IL"/>
        </w:rPr>
        <w:t>ב"ק</w:t>
      </w:r>
      <w:r>
        <w:rPr>
          <w:rFonts w:hint="cs"/>
          <w:rtl/>
          <w:lang w:bidi="he-IL"/>
        </w:rPr>
        <w:t xml:space="preserve"> לג. ["מתני' שור שוה... איכ בינייהו"], </w:t>
      </w:r>
      <w:r w:rsidRPr="00B92B07">
        <w:rPr>
          <w:rFonts w:hint="cs"/>
          <w:b/>
          <w:bCs/>
          <w:rtl/>
          <w:lang w:bidi="he-IL"/>
        </w:rPr>
        <w:t>רש"י</w:t>
      </w:r>
      <w:r>
        <w:rPr>
          <w:rFonts w:hint="cs"/>
          <w:rtl/>
          <w:lang w:bidi="he-IL"/>
        </w:rPr>
        <w:t xml:space="preserve"> שם</w:t>
      </w:r>
    </w:p>
    <w:p w14:paraId="0638EB70" w14:textId="3FEFC54D" w:rsidR="00A214DC" w:rsidRPr="00A214DC" w:rsidRDefault="00A214DC" w:rsidP="00FC6F0D">
      <w:pPr>
        <w:jc w:val="right"/>
        <w:rPr>
          <w:lang w:bidi="he-IL"/>
        </w:rPr>
      </w:pPr>
      <w:r w:rsidRPr="00A214DC">
        <w:rPr>
          <w:rFonts w:hint="cs"/>
          <w:b/>
          <w:bCs/>
          <w:rtl/>
          <w:lang w:bidi="he-IL"/>
        </w:rPr>
        <w:t>תוספות</w:t>
      </w:r>
      <w:r>
        <w:rPr>
          <w:rFonts w:hint="cs"/>
          <w:rtl/>
          <w:lang w:bidi="he-IL"/>
        </w:rPr>
        <w:t xml:space="preserve"> שם (ד"ה איכא בינייהו)</w:t>
      </w:r>
      <w:r w:rsidR="00C763BE">
        <w:rPr>
          <w:rFonts w:hint="cs"/>
          <w:rtl/>
          <w:lang w:bidi="he-IL"/>
        </w:rPr>
        <w:t xml:space="preserve"> ["ומכל מקום לר' עקיבא..." עד הסוף]</w:t>
      </w:r>
    </w:p>
    <w:p w14:paraId="0A4AA207" w14:textId="741ECB25" w:rsidR="00B92B07" w:rsidRDefault="00A214DC" w:rsidP="00FC6F0D">
      <w:pPr>
        <w:jc w:val="right"/>
        <w:rPr>
          <w:rtl/>
          <w:lang w:bidi="he-IL"/>
        </w:rPr>
      </w:pPr>
      <w:r>
        <w:rPr>
          <w:rFonts w:hint="cs"/>
          <w:b/>
          <w:bCs/>
          <w:rtl/>
          <w:lang w:bidi="he-IL"/>
        </w:rPr>
        <w:t>גמ'</w:t>
      </w:r>
      <w:r>
        <w:rPr>
          <w:rFonts w:hint="cs"/>
          <w:rtl/>
          <w:lang w:bidi="he-IL"/>
        </w:rPr>
        <w:t xml:space="preserve"> ב"ק עג: ["אמר רבא עדים שהוכחשו... שמע מינה הכחשה תחילת הזמה היא"], </w:t>
      </w:r>
      <w:r w:rsidRPr="00A214DC">
        <w:rPr>
          <w:rFonts w:hint="cs"/>
          <w:b/>
          <w:bCs/>
          <w:rtl/>
          <w:lang w:bidi="he-IL"/>
        </w:rPr>
        <w:t>רש"י</w:t>
      </w:r>
      <w:r>
        <w:rPr>
          <w:rFonts w:hint="cs"/>
          <w:rtl/>
          <w:lang w:bidi="he-IL"/>
        </w:rPr>
        <w:t xml:space="preserve"> שם</w:t>
      </w:r>
    </w:p>
    <w:p w14:paraId="5C6436A3" w14:textId="00BBF88F" w:rsidR="00A214DC" w:rsidRDefault="00A214DC" w:rsidP="00FC6F0D">
      <w:pPr>
        <w:jc w:val="right"/>
        <w:rPr>
          <w:rtl/>
          <w:lang w:bidi="he-IL"/>
        </w:rPr>
      </w:pPr>
      <w:r w:rsidRPr="00A214DC">
        <w:rPr>
          <w:rFonts w:hint="cs"/>
          <w:b/>
          <w:bCs/>
          <w:rtl/>
          <w:lang w:bidi="he-IL"/>
        </w:rPr>
        <w:t>ריטב"א</w:t>
      </w:r>
      <w:r>
        <w:rPr>
          <w:rFonts w:hint="cs"/>
          <w:b/>
          <w:bCs/>
          <w:rtl/>
          <w:lang w:bidi="he-IL"/>
        </w:rPr>
        <w:t xml:space="preserve"> </w:t>
      </w:r>
      <w:r w:rsidRPr="00A214DC">
        <w:rPr>
          <w:rFonts w:hint="cs"/>
          <w:rtl/>
          <w:lang w:bidi="he-IL"/>
        </w:rPr>
        <w:t>מכות</w:t>
      </w:r>
      <w:r>
        <w:rPr>
          <w:rFonts w:hint="cs"/>
          <w:rtl/>
          <w:lang w:bidi="he-IL"/>
        </w:rPr>
        <w:t xml:space="preserve"> ה. (ד"ה דבעידנא) [עד "... גמגום גדול"]</w:t>
      </w:r>
    </w:p>
    <w:p w14:paraId="463B287E" w14:textId="2F55459A" w:rsidR="00BD407D" w:rsidRDefault="00BD407D" w:rsidP="00FC6F0D">
      <w:pPr>
        <w:jc w:val="right"/>
        <w:rPr>
          <w:rtl/>
          <w:lang w:bidi="he-IL"/>
        </w:rPr>
      </w:pPr>
      <w:r w:rsidRPr="00BD407D">
        <w:rPr>
          <w:rFonts w:hint="cs"/>
          <w:b/>
          <w:bCs/>
          <w:rtl/>
          <w:lang w:bidi="he-IL"/>
        </w:rPr>
        <w:t>שיעורי</w:t>
      </w:r>
      <w:r>
        <w:rPr>
          <w:rFonts w:hint="cs"/>
          <w:b/>
          <w:bCs/>
          <w:rtl/>
          <w:lang w:bidi="he-IL"/>
        </w:rPr>
        <w:t xml:space="preserve"> רבי שמואל</w:t>
      </w:r>
      <w:r>
        <w:rPr>
          <w:rFonts w:hint="cs"/>
          <w:rtl/>
          <w:lang w:bidi="he-IL"/>
        </w:rPr>
        <w:t xml:space="preserve"> (אות רל"ו) [ד"ה ולכאורה י"ל]</w:t>
      </w:r>
    </w:p>
    <w:p w14:paraId="1040EA2A" w14:textId="45EAF6B4" w:rsidR="00D032EE" w:rsidRDefault="00D032EE" w:rsidP="00D032EE">
      <w:pPr>
        <w:jc w:val="right"/>
        <w:rPr>
          <w:rtl/>
          <w:lang w:bidi="he-IL"/>
        </w:rPr>
      </w:pPr>
      <w:r w:rsidRPr="00D032EE">
        <w:rPr>
          <w:b/>
          <w:bCs/>
          <w:rtl/>
          <w:lang w:bidi="he-IL"/>
        </w:rPr>
        <w:t>חדושי ר' חיים הלוי</w:t>
      </w:r>
      <w:r w:rsidRPr="00D032EE">
        <w:rPr>
          <w:rtl/>
          <w:lang w:bidi="he-IL"/>
        </w:rPr>
        <w:t xml:space="preserve"> הל</w:t>
      </w:r>
      <w:r>
        <w:rPr>
          <w:rFonts w:hint="cs"/>
          <w:rtl/>
          <w:lang w:bidi="he-IL"/>
        </w:rPr>
        <w:t>'</w:t>
      </w:r>
      <w:r w:rsidRPr="00D032EE">
        <w:rPr>
          <w:rtl/>
          <w:lang w:bidi="he-IL"/>
        </w:rPr>
        <w:t xml:space="preserve"> אישות </w:t>
      </w:r>
      <w:r>
        <w:rPr>
          <w:rFonts w:hint="cs"/>
          <w:rtl/>
          <w:lang w:bidi="he-IL"/>
        </w:rPr>
        <w:t>(</w:t>
      </w:r>
      <w:r w:rsidRPr="00D032EE">
        <w:rPr>
          <w:rtl/>
          <w:lang w:bidi="he-IL"/>
        </w:rPr>
        <w:t>פרק ב</w:t>
      </w:r>
      <w:r>
        <w:rPr>
          <w:rFonts w:hint="cs"/>
          <w:rtl/>
          <w:lang w:bidi="he-IL"/>
        </w:rPr>
        <w:t>'</w:t>
      </w:r>
      <w:r w:rsidRPr="00D032EE">
        <w:rPr>
          <w:rtl/>
          <w:lang w:bidi="he-IL"/>
        </w:rPr>
        <w:t xml:space="preserve"> הלכה ט</w:t>
      </w:r>
      <w:r>
        <w:rPr>
          <w:rFonts w:hint="cs"/>
          <w:rtl/>
          <w:lang w:bidi="he-IL"/>
        </w:rPr>
        <w:t>')</w:t>
      </w:r>
      <w:r>
        <w:rPr>
          <w:rStyle w:val="FootnoteReference"/>
          <w:rtl/>
          <w:lang w:bidi="he-IL"/>
        </w:rPr>
        <w:footnoteReference w:id="3"/>
      </w:r>
    </w:p>
    <w:p w14:paraId="1EBE6F9E" w14:textId="77777777" w:rsidR="00FC6F0D" w:rsidRPr="00FC6F0D" w:rsidRDefault="00FC6F0D" w:rsidP="00FC6F0D">
      <w:pPr>
        <w:jc w:val="right"/>
        <w:rPr>
          <w:rtl/>
          <w:lang w:bidi="he-IL"/>
        </w:rPr>
      </w:pPr>
    </w:p>
    <w:p w14:paraId="0600E5A9" w14:textId="77777777" w:rsidR="00FC6F0D" w:rsidRPr="00FC6F0D" w:rsidRDefault="00FC6F0D" w:rsidP="00FC6F0D">
      <w:pPr>
        <w:jc w:val="right"/>
        <w:rPr>
          <w:u w:val="single"/>
        </w:rPr>
      </w:pPr>
      <w:r w:rsidRPr="00FC6F0D">
        <w:rPr>
          <w:u w:val="single"/>
          <w:rtl/>
          <w:lang w:bidi="he-IL"/>
        </w:rPr>
        <w:t>תלמוד ירושלמי מסכת שבועות פרק ה הלכה ו</w:t>
      </w:r>
    </w:p>
    <w:p w14:paraId="6B7730AD" w14:textId="77777777" w:rsidR="00FC6F0D" w:rsidRPr="00FC6F0D" w:rsidRDefault="00FC6F0D" w:rsidP="00FC6F0D">
      <w:pPr>
        <w:jc w:val="right"/>
        <w:rPr>
          <w:rtl/>
          <w:lang w:bidi="he-IL"/>
        </w:rPr>
      </w:pPr>
      <w:r w:rsidRPr="00FC6F0D">
        <w:rPr>
          <w:rtl/>
          <w:lang w:bidi="he-IL"/>
        </w:rPr>
        <w:t>מהו שיאמר לו צא ידי שמים</w:t>
      </w:r>
      <w:r w:rsidRPr="00FC6F0D">
        <w:rPr>
          <w:rFonts w:hint="cs"/>
          <w:rtl/>
          <w:lang w:bidi="he-IL"/>
        </w:rPr>
        <w:t>,</w:t>
      </w:r>
      <w:r w:rsidRPr="00FC6F0D">
        <w:rPr>
          <w:rtl/>
          <w:lang w:bidi="he-IL"/>
        </w:rPr>
        <w:t xml:space="preserve"> נישמעינה מן הדא</w:t>
      </w:r>
      <w:r w:rsidRPr="00FC6F0D">
        <w:rPr>
          <w:rFonts w:hint="cs"/>
          <w:rtl/>
          <w:lang w:bidi="he-IL"/>
        </w:rPr>
        <w:t>:</w:t>
      </w:r>
      <w:r w:rsidRPr="00FC6F0D">
        <w:rPr>
          <w:rtl/>
          <w:lang w:bidi="he-IL"/>
        </w:rPr>
        <w:t xml:space="preserve"> מעשה ברבן גמליאל שהפיל שן טבי עבדו</w:t>
      </w:r>
      <w:r w:rsidRPr="00FC6F0D">
        <w:rPr>
          <w:rFonts w:hint="cs"/>
          <w:rtl/>
          <w:lang w:bidi="he-IL"/>
        </w:rPr>
        <w:t>,</w:t>
      </w:r>
      <w:r w:rsidRPr="00FC6F0D">
        <w:rPr>
          <w:rtl/>
          <w:lang w:bidi="he-IL"/>
        </w:rPr>
        <w:t xml:space="preserve"> אתא גבי רבי יהושע</w:t>
      </w:r>
      <w:r w:rsidRPr="00FC6F0D">
        <w:rPr>
          <w:rFonts w:hint="cs"/>
          <w:rtl/>
          <w:lang w:bidi="he-IL"/>
        </w:rPr>
        <w:t>,</w:t>
      </w:r>
      <w:r w:rsidRPr="00FC6F0D">
        <w:rPr>
          <w:rtl/>
          <w:lang w:bidi="he-IL"/>
        </w:rPr>
        <w:t xml:space="preserve"> א"ל טבי עבדי מצאתי עילה לשחררו</w:t>
      </w:r>
      <w:r w:rsidRPr="00FC6F0D">
        <w:rPr>
          <w:rFonts w:hint="cs"/>
          <w:rtl/>
          <w:lang w:bidi="he-IL"/>
        </w:rPr>
        <w:t>,</w:t>
      </w:r>
      <w:r w:rsidRPr="00FC6F0D">
        <w:rPr>
          <w:rtl/>
          <w:lang w:bidi="he-IL"/>
        </w:rPr>
        <w:t xml:space="preserve"> אמר לית בידך</w:t>
      </w:r>
      <w:r w:rsidRPr="00FC6F0D">
        <w:rPr>
          <w:rFonts w:hint="cs"/>
          <w:rtl/>
          <w:lang w:bidi="he-IL"/>
        </w:rPr>
        <w:t>,</w:t>
      </w:r>
      <w:r w:rsidRPr="00FC6F0D">
        <w:rPr>
          <w:rtl/>
          <w:lang w:bidi="he-IL"/>
        </w:rPr>
        <w:t xml:space="preserve"> ואין קנסות אלא בעדים ובבית דין</w:t>
      </w:r>
      <w:r w:rsidRPr="00FC6F0D">
        <w:rPr>
          <w:rFonts w:hint="cs"/>
          <w:rtl/>
          <w:lang w:bidi="he-IL"/>
        </w:rPr>
        <w:t>!</w:t>
      </w:r>
      <w:r w:rsidRPr="00FC6F0D">
        <w:rPr>
          <w:rtl/>
          <w:lang w:bidi="he-IL"/>
        </w:rPr>
        <w:t xml:space="preserve"> הדא אמרה שאין אומרים לו צא ידי שמים</w:t>
      </w:r>
      <w:r w:rsidRPr="00FC6F0D">
        <w:rPr>
          <w:rFonts w:hint="cs"/>
          <w:rtl/>
          <w:lang w:bidi="he-IL"/>
        </w:rPr>
        <w:t>.</w:t>
      </w:r>
    </w:p>
    <w:p w14:paraId="56934419" w14:textId="77777777" w:rsidR="00FC6F0D" w:rsidRPr="00FC6F0D" w:rsidRDefault="00FC6F0D" w:rsidP="00FC6F0D">
      <w:pPr>
        <w:jc w:val="right"/>
        <w:rPr>
          <w:u w:val="single"/>
        </w:rPr>
      </w:pPr>
      <w:r w:rsidRPr="00FC6F0D">
        <w:rPr>
          <w:u w:val="single"/>
          <w:rtl/>
          <w:lang w:bidi="he-IL"/>
        </w:rPr>
        <w:t>פני משה מסכת שבועות פרק ה הלכה ו</w:t>
      </w:r>
    </w:p>
    <w:p w14:paraId="6AA8589C" w14:textId="77777777" w:rsidR="00FC6F0D" w:rsidRPr="00FC6F0D" w:rsidRDefault="00FC6F0D" w:rsidP="00FC6F0D">
      <w:pPr>
        <w:jc w:val="right"/>
      </w:pPr>
      <w:r w:rsidRPr="00FC6F0D">
        <w:rPr>
          <w:rtl/>
          <w:lang w:bidi="he-IL"/>
        </w:rPr>
        <w:t>מהו שיאמר לו צא ידי שמים. על מודה בקנס קאי אף על גב דמדינא פטור הוא אם אומרין לו שישלם כדי לצאת ידי שמים</w:t>
      </w:r>
      <w:r w:rsidRPr="00FC6F0D">
        <w:rPr>
          <w:rFonts w:hint="cs"/>
          <w:rtl/>
          <w:lang w:bidi="he-IL"/>
        </w:rPr>
        <w:t>:</w:t>
      </w:r>
    </w:p>
    <w:p w14:paraId="575C373B" w14:textId="77777777" w:rsidR="00FC6F0D" w:rsidRPr="00FC6F0D" w:rsidRDefault="00FC6F0D" w:rsidP="00FC6F0D">
      <w:pPr>
        <w:jc w:val="right"/>
      </w:pPr>
      <w:r w:rsidRPr="00FC6F0D">
        <w:rPr>
          <w:rtl/>
          <w:lang w:bidi="he-IL"/>
        </w:rPr>
        <w:t>נישמעינה מהדא. עובדא דרבן גמליאל</w:t>
      </w:r>
      <w:r w:rsidRPr="00FC6F0D">
        <w:rPr>
          <w:rFonts w:hint="cs"/>
          <w:rtl/>
          <w:lang w:bidi="he-IL"/>
        </w:rPr>
        <w:t>:</w:t>
      </w:r>
    </w:p>
    <w:p w14:paraId="07BFB51E" w14:textId="77777777" w:rsidR="00FC6F0D" w:rsidRPr="00FC6F0D" w:rsidRDefault="00FC6F0D" w:rsidP="00FC6F0D">
      <w:pPr>
        <w:jc w:val="right"/>
      </w:pPr>
      <w:r w:rsidRPr="00FC6F0D">
        <w:rPr>
          <w:rtl/>
          <w:lang w:bidi="he-IL"/>
        </w:rPr>
        <w:t>מצאתי עילה לשחררו. היה שמח בדבר לפי שעבד כשר היה והיה מתאוה לשחררו</w:t>
      </w:r>
      <w:r w:rsidRPr="00FC6F0D">
        <w:rPr>
          <w:rFonts w:hint="cs"/>
          <w:rtl/>
          <w:lang w:bidi="he-IL"/>
        </w:rPr>
        <w:t>:</w:t>
      </w:r>
    </w:p>
    <w:p w14:paraId="6093FBD7" w14:textId="77777777" w:rsidR="00FC6F0D" w:rsidRPr="00FC6F0D" w:rsidRDefault="00FC6F0D" w:rsidP="00FC6F0D">
      <w:pPr>
        <w:jc w:val="right"/>
      </w:pPr>
      <w:r w:rsidRPr="00FC6F0D">
        <w:rPr>
          <w:rtl/>
          <w:lang w:bidi="he-IL"/>
        </w:rPr>
        <w:t>לית בידך. לא הועלת כלום מפני שהודית מפי עצמך ואין קנסות להתחייב אלא בב"ד ובעדים</w:t>
      </w:r>
      <w:r w:rsidRPr="00FC6F0D">
        <w:rPr>
          <w:rFonts w:hint="cs"/>
          <w:rtl/>
          <w:lang w:bidi="he-IL"/>
        </w:rPr>
        <w:t>:</w:t>
      </w:r>
    </w:p>
    <w:p w14:paraId="28314CEF" w14:textId="542144E6" w:rsidR="00FC6F0D" w:rsidRDefault="00FC6F0D" w:rsidP="00FC6F0D">
      <w:pPr>
        <w:jc w:val="right"/>
        <w:rPr>
          <w:rtl/>
          <w:lang w:bidi="he-IL"/>
        </w:rPr>
      </w:pPr>
      <w:r w:rsidRPr="00FC6F0D">
        <w:rPr>
          <w:rtl/>
          <w:lang w:bidi="he-IL"/>
        </w:rPr>
        <w:t>הדא אמרה שאין אומרין לו צא ידי שמים. דא"כ אכתי היה ר"ג צריך לצאת ידי שמים והיה יכול לשחררו אלא ש"מ דאינו צריך</w:t>
      </w:r>
      <w:r w:rsidRPr="00FC6F0D">
        <w:rPr>
          <w:rFonts w:hint="cs"/>
          <w:rtl/>
          <w:lang w:bidi="he-IL"/>
        </w:rPr>
        <w:t>:</w:t>
      </w:r>
    </w:p>
    <w:p w14:paraId="1B5CFB95" w14:textId="77777777" w:rsidR="006A0526" w:rsidRDefault="006A0526" w:rsidP="00FC6F0D">
      <w:pPr>
        <w:jc w:val="right"/>
        <w:rPr>
          <w:rtl/>
          <w:lang w:bidi="he-IL"/>
        </w:rPr>
      </w:pPr>
    </w:p>
    <w:p w14:paraId="10DAD488" w14:textId="77777777" w:rsidR="00D032EE" w:rsidRPr="00D032EE" w:rsidRDefault="00D032EE" w:rsidP="00D032EE">
      <w:pPr>
        <w:jc w:val="right"/>
        <w:rPr>
          <w:u w:val="single"/>
        </w:rPr>
      </w:pPr>
      <w:r w:rsidRPr="00D032EE">
        <w:rPr>
          <w:rFonts w:cs="Arial"/>
          <w:u w:val="single"/>
          <w:rtl/>
          <w:lang w:bidi="he-IL"/>
        </w:rPr>
        <w:lastRenderedPageBreak/>
        <w:t>חדושי ר' חיים הלוי הלכות אישות פרק ב הלכה ט</w:t>
      </w:r>
    </w:p>
    <w:p w14:paraId="496D38A7" w14:textId="25AE5FBE" w:rsidR="00D032EE" w:rsidRDefault="00D032EE" w:rsidP="00D032EE">
      <w:pPr>
        <w:jc w:val="right"/>
        <w:rPr>
          <w:rFonts w:cs="Arial"/>
          <w:rtl/>
          <w:lang w:bidi="he-IL"/>
        </w:rPr>
      </w:pPr>
      <w:r>
        <w:rPr>
          <w:rFonts w:cs="Arial"/>
          <w:rtl/>
          <w:lang w:bidi="he-IL"/>
        </w:rPr>
        <w:t>דהנה ביסוד הדין דמיאון, הרי תנן ביבמות דף ק"ח [ע"א] הממאנת באיש הוא מותר בקרובותיה והיא מותרת בקרוביו, והטעם בזה מבואר ברמב"ם בפי"א מהל' גירושין הט"ז שכתב ז"ל הממאנת אינה מגורשת ממנו ודינה עם בעלה שמיאנה בו כדינה עם מי שלא קדשה מעולם היא מותרת בקרוביו והוא מותר בקרובותיה וכו', הרי דדין המיאון הוא שמפקיע הנישואין למפרע, ומ"מ הרי אמרינן ביבמות שם דקטנה שנישאת בעלה זכאי במציאתה ובמעשי ידיה ובהפרת נדריה, וגם לאחר המיאון ג"כ אין חוזרין כל הנך דינים למפרע. וביאור הדבר נראה, דודאי דין המיאון הוא הפקעה על עיקר הקידושין למפרע, אלא דמ"מ לא מהניא הפקעת המיאון לענין שנימא דגם בשעתה קודם המיאון לא היו הקידושין חלין וקיימין בה אז, כי אם רק דלאחר המיאון דיינינן לה מכאן ולהבא כאילו לא נתקדשה מעולם, וע"ז הוא דמהניא הפקעת המאון, ועל כן לענין איסור קרובים, שפיר אמרינן דכיון דהשתא ע"י המיאון הופקעו הקידושין למפרע, על כן שפיר היא מותרת בקרוביו והוא מותר בקרובותיה, כיון דדיינינן לה השתא כאילו לא נתקדשה מעולם, משא"כ לענין זכותו במציאתה ומעשי ידיה והפרת נדריה שקודם המיאון, בזה אמרינן דמאחר דהנישואין בשעתן היו חלים וקיימים אז, על כן שפיר זכה בהן בשעתן ולא מהניא ע"ז כלל הפקעת המיאון, וכמו שנתבאר דלענין דין הנישואין בשעתן לא מהניא הפקעת המיאון למפרע</w:t>
      </w:r>
      <w:r>
        <w:rPr>
          <w:rFonts w:cs="Arial" w:hint="cs"/>
          <w:rtl/>
          <w:lang w:bidi="he-IL"/>
        </w:rPr>
        <w:t>.</w:t>
      </w:r>
    </w:p>
    <w:p w14:paraId="4CD02447" w14:textId="77777777" w:rsidR="00FC6F0D" w:rsidRDefault="00FC6F0D" w:rsidP="000E074C">
      <w:pPr>
        <w:jc w:val="right"/>
        <w:rPr>
          <w:rFonts w:hint="cs"/>
          <w:rtl/>
        </w:rPr>
      </w:pPr>
    </w:p>
    <w:sectPr w:rsidR="00FC6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6D64" w14:textId="77777777" w:rsidR="00C13A24" w:rsidRDefault="00C13A24" w:rsidP="00FC6F0D">
      <w:pPr>
        <w:spacing w:after="0" w:line="240" w:lineRule="auto"/>
      </w:pPr>
      <w:r>
        <w:separator/>
      </w:r>
    </w:p>
  </w:endnote>
  <w:endnote w:type="continuationSeparator" w:id="0">
    <w:p w14:paraId="7673C1B0" w14:textId="77777777" w:rsidR="00C13A24" w:rsidRDefault="00C13A24" w:rsidP="00FC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4CC4" w14:textId="77777777" w:rsidR="00C13A24" w:rsidRDefault="00C13A24" w:rsidP="00FC6F0D">
      <w:pPr>
        <w:spacing w:after="0" w:line="240" w:lineRule="auto"/>
      </w:pPr>
      <w:r>
        <w:separator/>
      </w:r>
    </w:p>
  </w:footnote>
  <w:footnote w:type="continuationSeparator" w:id="0">
    <w:p w14:paraId="305B4CB7" w14:textId="77777777" w:rsidR="00C13A24" w:rsidRDefault="00C13A24" w:rsidP="00FC6F0D">
      <w:pPr>
        <w:spacing w:after="0" w:line="240" w:lineRule="auto"/>
      </w:pPr>
      <w:r>
        <w:continuationSeparator/>
      </w:r>
    </w:p>
  </w:footnote>
  <w:footnote w:id="1">
    <w:p w14:paraId="066140E6" w14:textId="77777777" w:rsidR="00FC6F0D" w:rsidRPr="001467EF" w:rsidRDefault="00FC6F0D" w:rsidP="00FC6F0D">
      <w:pPr>
        <w:pStyle w:val="FootnoteText"/>
        <w:rPr>
          <w:sz w:val="16"/>
          <w:szCs w:val="16"/>
          <w:lang w:bidi="he-IL"/>
        </w:rPr>
      </w:pPr>
      <w:r w:rsidRPr="001467EF">
        <w:rPr>
          <w:rStyle w:val="FootnoteReference"/>
          <w:sz w:val="16"/>
          <w:szCs w:val="16"/>
        </w:rPr>
        <w:footnoteRef/>
      </w:r>
      <w:r w:rsidRPr="001467EF">
        <w:rPr>
          <w:sz w:val="16"/>
          <w:szCs w:val="16"/>
        </w:rPr>
        <w:t xml:space="preserve"> </w:t>
      </w:r>
      <w:r w:rsidRPr="001467EF">
        <w:rPr>
          <w:rFonts w:hint="cs"/>
          <w:sz w:val="16"/>
          <w:szCs w:val="16"/>
          <w:lang w:bidi="he-IL"/>
        </w:rPr>
        <w:t>T</w:t>
      </w:r>
      <w:r w:rsidRPr="001467EF">
        <w:rPr>
          <w:sz w:val="16"/>
          <w:szCs w:val="16"/>
          <w:lang w:bidi="he-IL"/>
        </w:rPr>
        <w:t>his is one line in the Gemara.  No need to see</w:t>
      </w:r>
      <w:r>
        <w:rPr>
          <w:sz w:val="16"/>
          <w:szCs w:val="16"/>
          <w:lang w:bidi="he-IL"/>
        </w:rPr>
        <w:t xml:space="preserve"> the larger context of the Gemara.  Note: </w:t>
      </w:r>
      <w:proofErr w:type="gramStart"/>
      <w:r>
        <w:rPr>
          <w:sz w:val="16"/>
          <w:szCs w:val="16"/>
          <w:lang w:bidi="he-IL"/>
        </w:rPr>
        <w:t>the</w:t>
      </w:r>
      <w:proofErr w:type="gramEnd"/>
      <w:r>
        <w:rPr>
          <w:sz w:val="16"/>
          <w:szCs w:val="16"/>
          <w:lang w:bidi="he-IL"/>
        </w:rPr>
        <w:t xml:space="preserve"> Gemara in this line is discussing a </w:t>
      </w:r>
      <w:r>
        <w:rPr>
          <w:rFonts w:hint="cs"/>
          <w:sz w:val="16"/>
          <w:szCs w:val="16"/>
          <w:rtl/>
          <w:lang w:bidi="he-IL"/>
        </w:rPr>
        <w:t>חיוב קנס</w:t>
      </w:r>
      <w:r>
        <w:rPr>
          <w:sz w:val="16"/>
          <w:szCs w:val="16"/>
          <w:lang w:bidi="he-IL"/>
        </w:rPr>
        <w:t xml:space="preserve"> of </w:t>
      </w:r>
      <w:r>
        <w:rPr>
          <w:rFonts w:hint="cs"/>
          <w:sz w:val="16"/>
          <w:szCs w:val="16"/>
          <w:rtl/>
          <w:lang w:bidi="he-IL"/>
        </w:rPr>
        <w:t>ד' וה'</w:t>
      </w:r>
      <w:r>
        <w:rPr>
          <w:sz w:val="16"/>
          <w:szCs w:val="16"/>
          <w:lang w:bidi="he-IL"/>
        </w:rPr>
        <w:t xml:space="preserve"> for </w:t>
      </w:r>
      <w:r>
        <w:rPr>
          <w:rFonts w:hint="cs"/>
          <w:sz w:val="16"/>
          <w:szCs w:val="16"/>
          <w:rtl/>
          <w:lang w:bidi="he-IL"/>
        </w:rPr>
        <w:t>טביחה ומכירה</w:t>
      </w:r>
      <w:r>
        <w:rPr>
          <w:sz w:val="16"/>
          <w:szCs w:val="16"/>
          <w:lang w:bidi="he-IL"/>
        </w:rPr>
        <w:t xml:space="preserve"> which is subject to </w:t>
      </w:r>
      <w:r>
        <w:rPr>
          <w:rFonts w:hint="cs"/>
          <w:sz w:val="16"/>
          <w:szCs w:val="16"/>
          <w:rtl/>
          <w:lang w:bidi="he-IL"/>
        </w:rPr>
        <w:t>קים ליה בדרבה מיניה</w:t>
      </w:r>
      <w:r>
        <w:rPr>
          <w:sz w:val="16"/>
          <w:szCs w:val="16"/>
          <w:lang w:bidi="he-IL"/>
        </w:rPr>
        <w:t xml:space="preserve"> when the </w:t>
      </w:r>
      <w:r>
        <w:rPr>
          <w:rFonts w:hint="cs"/>
          <w:sz w:val="16"/>
          <w:szCs w:val="16"/>
          <w:rtl/>
          <w:lang w:bidi="he-IL"/>
        </w:rPr>
        <w:t>טביחה</w:t>
      </w:r>
      <w:r>
        <w:rPr>
          <w:sz w:val="16"/>
          <w:szCs w:val="16"/>
          <w:lang w:bidi="he-IL"/>
        </w:rPr>
        <w:t xml:space="preserve"> also triggers a </w:t>
      </w:r>
      <w:r>
        <w:rPr>
          <w:rFonts w:hint="cs"/>
          <w:sz w:val="16"/>
          <w:szCs w:val="16"/>
          <w:rtl/>
          <w:lang w:bidi="he-IL"/>
        </w:rPr>
        <w:t>חיוב מיתה</w:t>
      </w:r>
      <w:r>
        <w:rPr>
          <w:sz w:val="16"/>
          <w:szCs w:val="16"/>
          <w:lang w:bidi="he-IL"/>
        </w:rPr>
        <w:t xml:space="preserve"> [ex: </w:t>
      </w:r>
      <w:r>
        <w:rPr>
          <w:rFonts w:hint="cs"/>
          <w:sz w:val="16"/>
          <w:szCs w:val="16"/>
          <w:rtl/>
          <w:lang w:bidi="he-IL"/>
        </w:rPr>
        <w:t>טביחה בשבת</w:t>
      </w:r>
      <w:r>
        <w:rPr>
          <w:sz w:val="16"/>
          <w:szCs w:val="16"/>
          <w:lang w:bidi="he-IL"/>
        </w:rPr>
        <w:t>].</w:t>
      </w:r>
    </w:p>
  </w:footnote>
  <w:footnote w:id="2">
    <w:p w14:paraId="5C036363" w14:textId="77777777" w:rsidR="00FC6F0D" w:rsidRPr="00D032EE" w:rsidRDefault="00FC6F0D" w:rsidP="00FC6F0D">
      <w:pPr>
        <w:pStyle w:val="FootnoteText"/>
        <w:rPr>
          <w:sz w:val="16"/>
          <w:szCs w:val="16"/>
          <w:lang w:bidi="he-IL"/>
        </w:rPr>
      </w:pPr>
      <w:r w:rsidRPr="00D032EE">
        <w:rPr>
          <w:rStyle w:val="FootnoteReference"/>
          <w:sz w:val="16"/>
          <w:szCs w:val="16"/>
        </w:rPr>
        <w:footnoteRef/>
      </w:r>
      <w:r w:rsidRPr="00D032EE">
        <w:rPr>
          <w:sz w:val="16"/>
          <w:szCs w:val="16"/>
        </w:rPr>
        <w:t xml:space="preserve"> </w:t>
      </w:r>
      <w:r w:rsidRPr="00D032EE">
        <w:rPr>
          <w:rFonts w:hint="cs"/>
          <w:sz w:val="16"/>
          <w:szCs w:val="16"/>
          <w:lang w:bidi="he-IL"/>
        </w:rPr>
        <w:t>S</w:t>
      </w:r>
      <w:r w:rsidRPr="00D032EE">
        <w:rPr>
          <w:sz w:val="16"/>
          <w:szCs w:val="16"/>
          <w:lang w:bidi="he-IL"/>
        </w:rPr>
        <w:t xml:space="preserve">ee below </w:t>
      </w:r>
    </w:p>
  </w:footnote>
  <w:footnote w:id="3">
    <w:p w14:paraId="121B5A73" w14:textId="779F851F" w:rsidR="00D032EE" w:rsidRPr="00D032EE" w:rsidRDefault="00D032EE">
      <w:pPr>
        <w:pStyle w:val="FootnoteText"/>
        <w:rPr>
          <w:sz w:val="16"/>
          <w:szCs w:val="16"/>
          <w:lang w:bidi="he-IL"/>
        </w:rPr>
      </w:pPr>
      <w:r w:rsidRPr="00D032EE">
        <w:rPr>
          <w:rStyle w:val="FootnoteReference"/>
          <w:sz w:val="16"/>
          <w:szCs w:val="16"/>
        </w:rPr>
        <w:footnoteRef/>
      </w:r>
      <w:r w:rsidRPr="00D032EE">
        <w:rPr>
          <w:sz w:val="16"/>
          <w:szCs w:val="16"/>
        </w:rPr>
        <w:t xml:space="preserve"> </w:t>
      </w:r>
      <w:r w:rsidRPr="00D032EE">
        <w:rPr>
          <w:rFonts w:hint="cs"/>
          <w:sz w:val="16"/>
          <w:szCs w:val="16"/>
          <w:lang w:bidi="he-IL"/>
        </w:rPr>
        <w:t>S</w:t>
      </w:r>
      <w:r w:rsidRPr="00D032EE">
        <w:rPr>
          <w:sz w:val="16"/>
          <w:szCs w:val="16"/>
          <w:lang w:bidi="he-IL"/>
        </w:rPr>
        <w:t xml:space="preserve">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4C"/>
    <w:rsid w:val="000E074C"/>
    <w:rsid w:val="002E0728"/>
    <w:rsid w:val="006A0526"/>
    <w:rsid w:val="008A1AE2"/>
    <w:rsid w:val="008A3758"/>
    <w:rsid w:val="009A0551"/>
    <w:rsid w:val="00A214DC"/>
    <w:rsid w:val="00A46F84"/>
    <w:rsid w:val="00B92B07"/>
    <w:rsid w:val="00BD407D"/>
    <w:rsid w:val="00C13A24"/>
    <w:rsid w:val="00C33475"/>
    <w:rsid w:val="00C763BE"/>
    <w:rsid w:val="00D032EE"/>
    <w:rsid w:val="00D31DB0"/>
    <w:rsid w:val="00D34357"/>
    <w:rsid w:val="00E76403"/>
    <w:rsid w:val="00E83BF1"/>
    <w:rsid w:val="00FC6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4760"/>
  <w15:chartTrackingRefBased/>
  <w15:docId w15:val="{443182EF-D47F-42DE-934C-CE68FA2A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F0D"/>
    <w:rPr>
      <w:sz w:val="20"/>
      <w:szCs w:val="20"/>
    </w:rPr>
  </w:style>
  <w:style w:type="character" w:styleId="FootnoteReference">
    <w:name w:val="footnote reference"/>
    <w:basedOn w:val="DefaultParagraphFont"/>
    <w:uiPriority w:val="99"/>
    <w:semiHidden/>
    <w:unhideWhenUsed/>
    <w:rsid w:val="00FC6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8</cp:revision>
  <cp:lastPrinted>2022-07-12T02:26:00Z</cp:lastPrinted>
  <dcterms:created xsi:type="dcterms:W3CDTF">2022-07-11T18:17:00Z</dcterms:created>
  <dcterms:modified xsi:type="dcterms:W3CDTF">2022-07-12T18:10:00Z</dcterms:modified>
</cp:coreProperties>
</file>