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6E38" w14:textId="77777777" w:rsidR="00185656" w:rsidRPr="00185656" w:rsidRDefault="00185656" w:rsidP="00185656">
      <w:pPr>
        <w:jc w:val="right"/>
        <w:rPr>
          <w:rtl/>
          <w:lang w:bidi="he-IL"/>
        </w:rPr>
      </w:pPr>
      <w:r w:rsidRPr="00185656">
        <w:rPr>
          <w:rFonts w:hint="cs"/>
          <w:rtl/>
          <w:lang w:bidi="he-IL"/>
        </w:rPr>
        <w:t>הרב שמואל דוב ווייס</w:t>
      </w:r>
    </w:p>
    <w:p w14:paraId="4C330DAB" w14:textId="3CAE4D46" w:rsidR="00185656" w:rsidRPr="00185656" w:rsidRDefault="00185656" w:rsidP="00185656">
      <w:pPr>
        <w:jc w:val="center"/>
        <w:rPr>
          <w:rtl/>
          <w:lang w:bidi="he-IL"/>
        </w:rPr>
      </w:pPr>
      <w:r w:rsidRPr="00185656">
        <w:rPr>
          <w:rFonts w:hint="cs"/>
          <w:b/>
          <w:bCs/>
          <w:sz w:val="30"/>
          <w:szCs w:val="30"/>
          <w:u w:val="single"/>
          <w:rtl/>
          <w:lang w:bidi="he-IL"/>
        </w:rPr>
        <w:t>הזמה</w:t>
      </w:r>
      <w:r w:rsidRPr="00185656">
        <w:rPr>
          <w:rFonts w:hint="cs"/>
          <w:rtl/>
          <w:lang w:bidi="he-IL"/>
        </w:rPr>
        <w:t xml:space="preserve"> (#</w:t>
      </w:r>
      <w:r>
        <w:rPr>
          <w:rFonts w:hint="cs"/>
          <w:rtl/>
          <w:lang w:bidi="he-IL"/>
        </w:rPr>
        <w:t>8</w:t>
      </w:r>
      <w:r w:rsidRPr="00185656">
        <w:rPr>
          <w:rFonts w:hint="cs"/>
          <w:rtl/>
          <w:lang w:bidi="he-IL"/>
        </w:rPr>
        <w:t>)</w:t>
      </w:r>
    </w:p>
    <w:p w14:paraId="4BF258CF" w14:textId="10055C2F" w:rsidR="008530F9" w:rsidRDefault="00185656" w:rsidP="00185656">
      <w:pPr>
        <w:jc w:val="right"/>
        <w:rPr>
          <w:u w:val="single"/>
          <w:rtl/>
          <w:lang w:bidi="he-IL"/>
        </w:rPr>
      </w:pPr>
      <w:r w:rsidRPr="00185656">
        <w:rPr>
          <w:rFonts w:hint="cs"/>
          <w:u w:val="single"/>
          <w:rtl/>
          <w:lang w:bidi="he-IL"/>
        </w:rPr>
        <w:t>הזמה והכחשה בבת אחת</w:t>
      </w:r>
    </w:p>
    <w:p w14:paraId="38AE23CF" w14:textId="0838A5D3" w:rsidR="00185656" w:rsidRDefault="002D5697" w:rsidP="00185656">
      <w:pPr>
        <w:jc w:val="right"/>
        <w:rPr>
          <w:rtl/>
          <w:lang w:bidi="he-IL"/>
        </w:rPr>
      </w:pPr>
      <w:r w:rsidRPr="002D5697">
        <w:rPr>
          <w:rFonts w:hint="cs"/>
          <w:b/>
          <w:bCs/>
          <w:rtl/>
          <w:lang w:bidi="he-IL"/>
        </w:rPr>
        <w:t>משנה</w:t>
      </w:r>
      <w:r>
        <w:rPr>
          <w:rFonts w:hint="cs"/>
          <w:rtl/>
          <w:lang w:bidi="he-IL"/>
        </w:rPr>
        <w:t xml:space="preserve"> ה. ["אין העדים... על פיהם"], </w:t>
      </w:r>
      <w:r w:rsidRPr="002D5697">
        <w:rPr>
          <w:rFonts w:hint="cs"/>
          <w:b/>
          <w:bCs/>
          <w:rtl/>
          <w:lang w:bidi="he-IL"/>
        </w:rPr>
        <w:t>גמ'</w:t>
      </w:r>
      <w:r>
        <w:rPr>
          <w:rFonts w:hint="cs"/>
          <w:b/>
          <w:bCs/>
          <w:rtl/>
          <w:lang w:bidi="he-IL"/>
        </w:rPr>
        <w:t xml:space="preserve"> </w:t>
      </w:r>
      <w:r w:rsidRPr="002D5697">
        <w:rPr>
          <w:rFonts w:hint="cs"/>
          <w:rtl/>
          <w:lang w:bidi="he-IL"/>
        </w:rPr>
        <w:t>שם</w:t>
      </w:r>
      <w:r>
        <w:rPr>
          <w:rFonts w:hint="cs"/>
          <w:rtl/>
          <w:lang w:bidi="he-IL"/>
        </w:rPr>
        <w:t xml:space="preserve"> ["מנא הני מילי... </w:t>
      </w:r>
      <w:r w:rsidR="003A77A4">
        <w:rPr>
          <w:rFonts w:hint="cs"/>
          <w:rtl/>
          <w:lang w:bidi="he-IL"/>
        </w:rPr>
        <w:t>לגמלא פרחא</w:t>
      </w:r>
      <w:r>
        <w:rPr>
          <w:rFonts w:hint="cs"/>
          <w:rtl/>
          <w:lang w:bidi="he-IL"/>
        </w:rPr>
        <w:t>"</w:t>
      </w:r>
      <w:r w:rsidR="003A77A4">
        <w:rPr>
          <w:rFonts w:hint="cs"/>
          <w:rtl/>
          <w:lang w:bidi="he-IL"/>
        </w:rPr>
        <w:t>]</w:t>
      </w:r>
      <w:r>
        <w:rPr>
          <w:rFonts w:hint="cs"/>
          <w:rtl/>
          <w:lang w:bidi="he-IL"/>
        </w:rPr>
        <w:t xml:space="preserve">, </w:t>
      </w:r>
      <w:r w:rsidRPr="002D5697">
        <w:rPr>
          <w:rFonts w:hint="cs"/>
          <w:b/>
          <w:bCs/>
          <w:rtl/>
          <w:lang w:bidi="he-IL"/>
        </w:rPr>
        <w:t>רש"י</w:t>
      </w:r>
      <w:r>
        <w:rPr>
          <w:rFonts w:hint="cs"/>
          <w:rtl/>
          <w:lang w:bidi="he-IL"/>
        </w:rPr>
        <w:t xml:space="preserve"> שם</w:t>
      </w:r>
    </w:p>
    <w:p w14:paraId="26C6C5E5" w14:textId="27BBD89C" w:rsidR="002D5697" w:rsidRDefault="002D5697" w:rsidP="00185656">
      <w:pPr>
        <w:jc w:val="right"/>
        <w:rPr>
          <w:rtl/>
          <w:lang w:bidi="he-IL"/>
        </w:rPr>
      </w:pPr>
      <w:r w:rsidRPr="002D5697">
        <w:rPr>
          <w:rFonts w:hint="cs"/>
          <w:b/>
          <w:bCs/>
          <w:rtl/>
          <w:lang w:bidi="he-IL"/>
        </w:rPr>
        <w:t>רמב"ם</w:t>
      </w:r>
      <w:r>
        <w:rPr>
          <w:rFonts w:hint="cs"/>
          <w:b/>
          <w:bCs/>
          <w:rtl/>
          <w:lang w:bidi="he-IL"/>
        </w:rPr>
        <w:t xml:space="preserve"> </w:t>
      </w:r>
      <w:r w:rsidRPr="002D5697">
        <w:rPr>
          <w:rFonts w:hint="cs"/>
          <w:rtl/>
          <w:lang w:bidi="he-IL"/>
        </w:rPr>
        <w:t xml:space="preserve">הל' עדות </w:t>
      </w:r>
      <w:r>
        <w:rPr>
          <w:rFonts w:hint="cs"/>
          <w:rtl/>
          <w:lang w:bidi="he-IL"/>
        </w:rPr>
        <w:t>(</w:t>
      </w:r>
      <w:r w:rsidRPr="002D5697">
        <w:rPr>
          <w:rFonts w:hint="cs"/>
          <w:rtl/>
          <w:lang w:bidi="he-IL"/>
        </w:rPr>
        <w:t>י"ח:ב'</w:t>
      </w:r>
      <w:r>
        <w:rPr>
          <w:rFonts w:hint="cs"/>
          <w:rtl/>
          <w:lang w:bidi="he-IL"/>
        </w:rPr>
        <w:t>)</w:t>
      </w:r>
    </w:p>
    <w:p w14:paraId="6C7196A3" w14:textId="4DB8A330" w:rsidR="002D5697" w:rsidRDefault="002D5697" w:rsidP="00185656">
      <w:pPr>
        <w:jc w:val="right"/>
        <w:rPr>
          <w:rtl/>
          <w:lang w:bidi="he-IL"/>
        </w:rPr>
      </w:pPr>
      <w:r w:rsidRPr="002D5697">
        <w:rPr>
          <w:rFonts w:hint="cs"/>
          <w:b/>
          <w:bCs/>
          <w:rtl/>
          <w:lang w:bidi="he-IL"/>
        </w:rPr>
        <w:t>טור</w:t>
      </w:r>
      <w:r w:rsidR="002F6A28">
        <w:rPr>
          <w:rFonts w:hint="cs"/>
          <w:rtl/>
          <w:lang w:bidi="he-IL"/>
        </w:rPr>
        <w:t xml:space="preserve"> חו"מ (ל"ח:ו'-ח')</w:t>
      </w:r>
    </w:p>
    <w:p w14:paraId="3F5947E6" w14:textId="4C52CA1E" w:rsidR="002F6A28" w:rsidRDefault="002F6A28" w:rsidP="00185656">
      <w:pPr>
        <w:jc w:val="right"/>
        <w:rPr>
          <w:lang w:bidi="he-IL"/>
        </w:rPr>
      </w:pPr>
      <w:r w:rsidRPr="002F6A28">
        <w:rPr>
          <w:rFonts w:hint="cs"/>
          <w:b/>
          <w:bCs/>
          <w:rtl/>
          <w:lang w:bidi="he-IL"/>
        </w:rPr>
        <w:t>לחם משנה</w:t>
      </w:r>
      <w:r>
        <w:rPr>
          <w:rFonts w:hint="cs"/>
          <w:b/>
          <w:bCs/>
          <w:rtl/>
          <w:lang w:bidi="he-IL"/>
        </w:rPr>
        <w:t xml:space="preserve"> </w:t>
      </w:r>
      <w:r w:rsidRPr="002F6A28">
        <w:rPr>
          <w:rFonts w:hint="cs"/>
          <w:rtl/>
          <w:lang w:bidi="he-IL"/>
        </w:rPr>
        <w:t>שם (י"ח:ב')</w:t>
      </w:r>
      <w:r w:rsidR="00B14581">
        <w:rPr>
          <w:rFonts w:hint="cs"/>
          <w:rtl/>
          <w:lang w:bidi="he-IL"/>
        </w:rPr>
        <w:t xml:space="preserve"> [עד "... הרבה בלשון רבנו יעויין שם"]</w:t>
      </w:r>
    </w:p>
    <w:p w14:paraId="1BFD26AB" w14:textId="3CB934B0" w:rsidR="009E3C7A" w:rsidRDefault="009E3C7A" w:rsidP="00185656">
      <w:pPr>
        <w:jc w:val="right"/>
        <w:rPr>
          <w:lang w:bidi="he-IL"/>
        </w:rPr>
      </w:pPr>
      <w:r w:rsidRPr="009E3C7A">
        <w:rPr>
          <w:rFonts w:hint="cs"/>
          <w:b/>
          <w:bCs/>
          <w:rtl/>
          <w:lang w:bidi="he-IL"/>
        </w:rPr>
        <w:t>תוספות יו"ט</w:t>
      </w:r>
      <w:r w:rsidRPr="00B14581">
        <w:rPr>
          <w:rStyle w:val="FootnoteReference"/>
          <w:rtl/>
          <w:lang w:bidi="he-IL"/>
        </w:rPr>
        <w:footnoteReference w:id="1"/>
      </w:r>
      <w:r>
        <w:rPr>
          <w:rFonts w:hint="cs"/>
          <w:b/>
          <w:bCs/>
          <w:rtl/>
          <w:lang w:bidi="he-IL"/>
        </w:rPr>
        <w:t xml:space="preserve"> </w:t>
      </w:r>
      <w:r w:rsidRPr="009E3C7A">
        <w:rPr>
          <w:rFonts w:hint="cs"/>
          <w:rtl/>
          <w:lang w:bidi="he-IL"/>
        </w:rPr>
        <w:t>(</w:t>
      </w:r>
      <w:r>
        <w:rPr>
          <w:rFonts w:hint="cs"/>
          <w:rtl/>
          <w:lang w:bidi="he-IL"/>
        </w:rPr>
        <w:t>פרק א' משנה ד') [ד"ה ונהרגין על פיהם]</w:t>
      </w:r>
    </w:p>
    <w:p w14:paraId="28271EE7" w14:textId="76DB3F64" w:rsidR="009E3C7A" w:rsidRDefault="00376455" w:rsidP="00185656">
      <w:pPr>
        <w:jc w:val="right"/>
        <w:rPr>
          <w:rtl/>
          <w:lang w:bidi="he-IL"/>
        </w:rPr>
      </w:pPr>
      <w:r w:rsidRPr="00376455">
        <w:rPr>
          <w:rFonts w:hint="cs"/>
          <w:b/>
          <w:bCs/>
          <w:rtl/>
          <w:lang w:bidi="he-IL"/>
        </w:rPr>
        <w:t>גמ'</w:t>
      </w:r>
      <w:r>
        <w:rPr>
          <w:rFonts w:hint="cs"/>
          <w:b/>
          <w:bCs/>
          <w:rtl/>
          <w:lang w:bidi="he-IL"/>
        </w:rPr>
        <w:t xml:space="preserve"> </w:t>
      </w:r>
      <w:r w:rsidRPr="00376455">
        <w:rPr>
          <w:rFonts w:hint="cs"/>
          <w:b/>
          <w:bCs/>
          <w:rtl/>
          <w:lang w:bidi="he-IL"/>
        </w:rPr>
        <w:t>כתובות</w:t>
      </w:r>
      <w:r>
        <w:rPr>
          <w:rFonts w:hint="cs"/>
          <w:rtl/>
          <w:lang w:bidi="he-IL"/>
        </w:rPr>
        <w:t xml:space="preserve"> כב: ["תנו רבנן שנים אומרים..."</w:t>
      </w:r>
      <w:r>
        <w:rPr>
          <w:rStyle w:val="FootnoteReference"/>
          <w:rtl/>
          <w:lang w:bidi="he-IL"/>
        </w:rPr>
        <w:footnoteReference w:id="2"/>
      </w:r>
      <w:r>
        <w:rPr>
          <w:rFonts w:hint="cs"/>
          <w:rtl/>
          <w:lang w:bidi="he-IL"/>
        </w:rPr>
        <w:t xml:space="preserve">] - כג. [עד "... דמקדשי בצנעא"], </w:t>
      </w:r>
      <w:r w:rsidRPr="00376455">
        <w:rPr>
          <w:rFonts w:hint="cs"/>
          <w:b/>
          <w:bCs/>
          <w:rtl/>
          <w:lang w:bidi="he-IL"/>
        </w:rPr>
        <w:t>ורש"י</w:t>
      </w:r>
      <w:r>
        <w:rPr>
          <w:rFonts w:hint="cs"/>
          <w:rtl/>
          <w:lang w:bidi="he-IL"/>
        </w:rPr>
        <w:t xml:space="preserve"> שם</w:t>
      </w:r>
    </w:p>
    <w:p w14:paraId="541BC7ED" w14:textId="429CA7BC" w:rsidR="00376455" w:rsidRDefault="00376455" w:rsidP="00185656">
      <w:pPr>
        <w:jc w:val="right"/>
        <w:rPr>
          <w:lang w:bidi="he-IL"/>
        </w:rPr>
      </w:pPr>
      <w:r w:rsidRPr="00376455">
        <w:rPr>
          <w:rFonts w:hint="cs"/>
          <w:b/>
          <w:bCs/>
          <w:rtl/>
          <w:lang w:bidi="he-IL"/>
        </w:rPr>
        <w:t>תוס' רי"ד</w:t>
      </w:r>
      <w:r>
        <w:rPr>
          <w:rFonts w:hint="cs"/>
          <w:rtl/>
          <w:lang w:bidi="he-IL"/>
        </w:rPr>
        <w:t xml:space="preserve"> שם כג. (ד"ה ב' אומרים)</w:t>
      </w:r>
      <w:r>
        <w:rPr>
          <w:rStyle w:val="FootnoteReference"/>
          <w:rtl/>
          <w:lang w:bidi="he-IL"/>
        </w:rPr>
        <w:footnoteReference w:id="3"/>
      </w:r>
    </w:p>
    <w:p w14:paraId="0EDBBB2E" w14:textId="2881D789" w:rsidR="009031A6" w:rsidRDefault="009031A6" w:rsidP="009031A6">
      <w:pPr>
        <w:jc w:val="right"/>
        <w:rPr>
          <w:rtl/>
          <w:lang w:bidi="he-IL"/>
        </w:rPr>
      </w:pPr>
      <w:r w:rsidRPr="009031A6">
        <w:rPr>
          <w:b/>
          <w:bCs/>
          <w:rtl/>
          <w:lang w:bidi="he-IL"/>
        </w:rPr>
        <w:t>שו"ת מהר"י בירב</w:t>
      </w:r>
      <w:r w:rsidRPr="009031A6">
        <w:rPr>
          <w:rtl/>
          <w:lang w:bidi="he-IL"/>
        </w:rPr>
        <w:t xml:space="preserve"> </w:t>
      </w:r>
      <w:r>
        <w:rPr>
          <w:rFonts w:hint="cs"/>
          <w:rtl/>
          <w:lang w:bidi="he-IL"/>
        </w:rPr>
        <w:t>(</w:t>
      </w:r>
      <w:r w:rsidRPr="009031A6">
        <w:rPr>
          <w:rtl/>
          <w:lang w:bidi="he-IL"/>
        </w:rPr>
        <w:t>סימן מ</w:t>
      </w:r>
      <w:r w:rsidRPr="009031A6">
        <w:rPr>
          <w:rFonts w:hint="cs"/>
          <w:rtl/>
          <w:lang w:bidi="he-IL"/>
        </w:rPr>
        <w:t>"</w:t>
      </w:r>
      <w:r w:rsidRPr="009031A6">
        <w:rPr>
          <w:rtl/>
          <w:lang w:bidi="he-IL"/>
        </w:rPr>
        <w:t>ב</w:t>
      </w:r>
      <w:r>
        <w:rPr>
          <w:rFonts w:hint="cs"/>
          <w:rtl/>
          <w:lang w:bidi="he-IL"/>
        </w:rPr>
        <w:t>)</w:t>
      </w:r>
      <w:r>
        <w:rPr>
          <w:rStyle w:val="FootnoteReference"/>
          <w:rtl/>
          <w:lang w:bidi="he-IL"/>
        </w:rPr>
        <w:footnoteReference w:id="4"/>
      </w:r>
    </w:p>
    <w:p w14:paraId="5AB5BDE2" w14:textId="11BBFAB3" w:rsidR="004735C9" w:rsidRPr="004735C9" w:rsidRDefault="004735C9" w:rsidP="004735C9">
      <w:pPr>
        <w:jc w:val="right"/>
        <w:rPr>
          <w:lang w:bidi="he-IL"/>
        </w:rPr>
      </w:pPr>
      <w:r w:rsidRPr="004735C9">
        <w:rPr>
          <w:b/>
          <w:bCs/>
          <w:rtl/>
          <w:lang w:bidi="he-IL"/>
        </w:rPr>
        <w:t xml:space="preserve">שו"ת מהרי"ט </w:t>
      </w:r>
      <w:r>
        <w:rPr>
          <w:rFonts w:hint="cs"/>
          <w:rtl/>
          <w:lang w:bidi="he-IL"/>
        </w:rPr>
        <w:t>(</w:t>
      </w:r>
      <w:r w:rsidRPr="004735C9">
        <w:rPr>
          <w:rtl/>
          <w:lang w:bidi="he-IL"/>
        </w:rPr>
        <w:t>חלק ב</w:t>
      </w:r>
      <w:r>
        <w:rPr>
          <w:rFonts w:hint="cs"/>
          <w:rtl/>
          <w:lang w:bidi="he-IL"/>
        </w:rPr>
        <w:t>'</w:t>
      </w:r>
      <w:r w:rsidRPr="004735C9">
        <w:rPr>
          <w:rtl/>
          <w:lang w:bidi="he-IL"/>
        </w:rPr>
        <w:t xml:space="preserve"> אבן העזר סימן ל</w:t>
      </w:r>
      <w:r>
        <w:rPr>
          <w:rFonts w:hint="cs"/>
          <w:rtl/>
          <w:lang w:bidi="he-IL"/>
        </w:rPr>
        <w:t>"</w:t>
      </w:r>
      <w:r w:rsidRPr="004735C9">
        <w:rPr>
          <w:rtl/>
          <w:lang w:bidi="he-IL"/>
        </w:rPr>
        <w:t>ז</w:t>
      </w:r>
      <w:r>
        <w:rPr>
          <w:rFonts w:hint="cs"/>
          <w:rtl/>
          <w:lang w:bidi="he-IL"/>
        </w:rPr>
        <w:t>)</w:t>
      </w:r>
      <w:r w:rsidR="009E0DDA">
        <w:rPr>
          <w:rStyle w:val="FootnoteReference"/>
          <w:rtl/>
          <w:lang w:bidi="he-IL"/>
        </w:rPr>
        <w:footnoteReference w:id="5"/>
      </w:r>
    </w:p>
    <w:p w14:paraId="6331DBFE" w14:textId="0AD190A5" w:rsidR="00376455" w:rsidRDefault="00376455" w:rsidP="00185656">
      <w:pPr>
        <w:jc w:val="right"/>
        <w:rPr>
          <w:lang w:bidi="he-IL"/>
        </w:rPr>
      </w:pPr>
    </w:p>
    <w:p w14:paraId="578B345A" w14:textId="77777777" w:rsidR="00376455" w:rsidRPr="00376455" w:rsidRDefault="00376455" w:rsidP="00376455">
      <w:pPr>
        <w:jc w:val="right"/>
        <w:rPr>
          <w:u w:val="single"/>
        </w:rPr>
      </w:pPr>
      <w:r w:rsidRPr="00376455">
        <w:rPr>
          <w:rFonts w:cs="Arial"/>
          <w:u w:val="single"/>
          <w:rtl/>
          <w:lang w:bidi="he-IL"/>
        </w:rPr>
        <w:t>פסקי רי"ד מסכת כתובות דף כג עמוד א</w:t>
      </w:r>
    </w:p>
    <w:p w14:paraId="24A6B69A" w14:textId="7BED83BD" w:rsidR="00376455" w:rsidRDefault="00376455" w:rsidP="00376455">
      <w:pPr>
        <w:jc w:val="right"/>
        <w:rPr>
          <w:rFonts w:cs="Arial"/>
          <w:lang w:bidi="he-IL"/>
        </w:rPr>
      </w:pPr>
      <w:r>
        <w:rPr>
          <w:rFonts w:cs="Arial"/>
          <w:rtl/>
          <w:lang w:bidi="he-IL"/>
        </w:rPr>
        <w:t xml:space="preserve">רב אשי אמ' לעולם תרי ותרי ואיפוך, שנים אומ' ראינוה שנתקדשה ושנים אומ' לא ראינוה שנתקדשה הרי זו לא תינשא ואם נישאת תצא. פשיטא לא ראינוה אינה ראיה, לא צריכא דדיירי בחצר אחת, מהו דתימ' אי איתה דקדיש קלא אית לה למילתא, קמ"ל דעבידי אינשי דמקדשי בצינעה. ואי קשיא טעמ' דאמרי לא ראינוה שנתקדשה דלא ראינוה אינה ראיה, אבל אי אמרי בעיקר לא נתקדשה, כגון דאמרי האשה או המקדש היו עמנו במקו' פל' שמעידין עדות ברורה הכי נמי דאם נישאת לא תצא, ואמאי לא תצא תרי ותרי נינהו והבא עליה באשם תלוי קאי </w:t>
      </w:r>
      <w:r>
        <w:rPr>
          <w:rFonts w:cs="Arial" w:hint="cs"/>
          <w:rtl/>
          <w:lang w:bidi="he-IL"/>
        </w:rPr>
        <w:t>..</w:t>
      </w:r>
      <w:r>
        <w:rPr>
          <w:rFonts w:cs="Arial"/>
          <w:rtl/>
          <w:lang w:bidi="he-IL"/>
        </w:rPr>
        <w:t>. יש לומ' אילו העידו עדות ברורה כגון שאמרו אנחנו היינו כל היום עמכם באותה חצר ולא נפרדנו משם כלל ולא יתכן שנתקדשה באותו היום, שאילו כן גם אנחנו [היינו] רואים המעש' אלא שקר אתם מעידים, אין לומ' בכאן תרי ותרי נינהו, שזאת היא הזמה גמורה כיון שאומ' להן והלא עמנו הייתם יחד במקום פל' כל היום כולו ואנו לא ראינו ואתם היאך ראיתם, ובהזמה האמינה תורה עדות האחרונים ובטלה עדות הראשונים, הילכך טעמ' דאמרי לא ראינוה דאינה ראיה דתצא, לא אמרי' אי איתה דנתקדשה קלא אית לה (והזמה) ואכתי הזמה היא, אבל אם העידו עדות ברורה כיון דמזימין את הראשונים תינשא לכתחלה</w:t>
      </w:r>
      <w:r>
        <w:rPr>
          <w:rFonts w:cs="Arial" w:hint="cs"/>
          <w:rtl/>
          <w:lang w:bidi="he-IL"/>
        </w:rPr>
        <w:t>.</w:t>
      </w:r>
    </w:p>
    <w:p w14:paraId="55CFA1B6" w14:textId="39656950" w:rsidR="009031A6" w:rsidRPr="009031A6" w:rsidRDefault="009031A6" w:rsidP="009031A6">
      <w:pPr>
        <w:jc w:val="right"/>
        <w:rPr>
          <w:u w:val="single"/>
        </w:rPr>
      </w:pPr>
      <w:r w:rsidRPr="009031A6">
        <w:rPr>
          <w:rFonts w:cs="Arial"/>
          <w:u w:val="single"/>
          <w:rtl/>
          <w:lang w:bidi="he-IL"/>
        </w:rPr>
        <w:t xml:space="preserve">שו"ת מהר"י בירב </w:t>
      </w:r>
      <w:r w:rsidR="00EB5061">
        <w:rPr>
          <w:rFonts w:cs="Arial" w:hint="cs"/>
          <w:u w:val="single"/>
          <w:rtl/>
          <w:lang w:bidi="he-IL"/>
        </w:rPr>
        <w:t>(</w:t>
      </w:r>
      <w:r w:rsidRPr="009031A6">
        <w:rPr>
          <w:rFonts w:cs="Arial"/>
          <w:u w:val="single"/>
          <w:rtl/>
          <w:lang w:bidi="he-IL"/>
        </w:rPr>
        <w:t>סימן מ</w:t>
      </w:r>
      <w:r>
        <w:rPr>
          <w:rFonts w:cs="Arial" w:hint="cs"/>
          <w:u w:val="single"/>
          <w:rtl/>
          <w:lang w:bidi="he-IL"/>
        </w:rPr>
        <w:t>"</w:t>
      </w:r>
      <w:r w:rsidRPr="009031A6">
        <w:rPr>
          <w:rFonts w:cs="Arial"/>
          <w:u w:val="single"/>
          <w:rtl/>
          <w:lang w:bidi="he-IL"/>
        </w:rPr>
        <w:t>ב</w:t>
      </w:r>
      <w:r w:rsidR="00EB5061">
        <w:rPr>
          <w:rFonts w:cs="Arial" w:hint="cs"/>
          <w:u w:val="single"/>
          <w:rtl/>
          <w:lang w:bidi="he-IL"/>
        </w:rPr>
        <w:t>)</w:t>
      </w:r>
      <w:r w:rsidRPr="009031A6">
        <w:rPr>
          <w:rStyle w:val="FootnoteReference"/>
          <w:rFonts w:cs="Arial"/>
          <w:rtl/>
          <w:lang w:bidi="he-IL"/>
        </w:rPr>
        <w:footnoteReference w:id="6"/>
      </w:r>
    </w:p>
    <w:p w14:paraId="73B8D10C" w14:textId="1A4C01A1" w:rsidR="00EB5061" w:rsidRDefault="009031A6" w:rsidP="004735C9">
      <w:pPr>
        <w:jc w:val="right"/>
        <w:rPr>
          <w:rFonts w:cs="Arial"/>
          <w:rtl/>
          <w:lang w:bidi="he-IL"/>
        </w:rPr>
      </w:pPr>
      <w:r>
        <w:rPr>
          <w:rFonts w:cs="Arial"/>
          <w:rtl/>
          <w:lang w:bidi="he-IL"/>
        </w:rPr>
        <w:t xml:space="preserve">וזה ודאי נקרא בתלמוד הזמה שגדר הזמה הוא שאינ' מעדים על גוף המעשה אלא בגוף העדים ובכאן אלו לא העידו אלא בגוף עדי הקידושין שאמרו שא"א שיראו אלו הקידושין לפי שהדלת היה סגור אחריהם ואין לאומר שיאמר שצריכין העדים המזימין לומר באותה שעה שאתם אומרים עמנו הייתם שאפילו אם לא יאמר אלא בשעה אחרת עמנו הייתם וא"א שבשעה שאת' אומרים הייתם שם הרי זו עדות מוזמ' והרי אלו הם הם אמרו שקודם </w:t>
      </w:r>
      <w:r>
        <w:rPr>
          <w:rFonts w:cs="Arial"/>
          <w:rtl/>
          <w:lang w:bidi="he-IL"/>
        </w:rPr>
        <w:lastRenderedPageBreak/>
        <w:t>שיצאו מבית הכנס' היו לשם וסגרו הדלת לאחוריהם וא"א שיראו שום דבר ודמיא לההיא דאמרו שנים שהעידו ואמרו במזרח הבירה הרג זה את הנפש בשעה פלו' ובאו ב' ואמרו במערב הבירה הייתם עמנו בשעה הזאת הרי אלו זוממין וכו' בנדון שלפנינו ג"כ כבר אמרו שהיה הדלת סגור ואי אפשר שיראו זה הענין וא"ת שהם אינם מעידים על מקום אחר שהיו כמו שאומרים בכאן במערב הבירה הייתם לאו קושיא היא שהרי אם העידו ואמרו בבקר הרג זה את הנפש בירושלם ובאו ב' ואמרו בערב היית' עמנו בלוד אם אינו יכול להלוך מירושלם ללוד עד ערב הרי הם זוממין והרי שבשעת ההרג לא העידו היכן היו אלא שא"א שהיו באותה שעה של הריגה היו שם ואף הכא נמי העירו /העידו/ שא"א שהם היו לשם בשעה שהם העידו א"כ עלה בידנו שזו העדו' של עדי הקידושין היא מוזמ' ואין בו ממש</w:t>
      </w:r>
      <w:r w:rsidR="00EB5061">
        <w:rPr>
          <w:rFonts w:cs="Arial" w:hint="cs"/>
          <w:rtl/>
          <w:lang w:bidi="he-IL"/>
        </w:rPr>
        <w:t>.</w:t>
      </w:r>
    </w:p>
    <w:p w14:paraId="6852D524" w14:textId="77777777" w:rsidR="00EB5061" w:rsidRPr="00EB5061" w:rsidRDefault="00EB5061" w:rsidP="00EB5061">
      <w:pPr>
        <w:jc w:val="right"/>
        <w:rPr>
          <w:u w:val="single"/>
        </w:rPr>
      </w:pPr>
      <w:r w:rsidRPr="00EB5061">
        <w:rPr>
          <w:rFonts w:cs="Arial"/>
          <w:u w:val="single"/>
          <w:rtl/>
          <w:lang w:bidi="he-IL"/>
        </w:rPr>
        <w:t>שו"ת מהרי"ט חלק ב - אבן העזר סימן לז</w:t>
      </w:r>
    </w:p>
    <w:p w14:paraId="5F16DC5A" w14:textId="549763DF" w:rsidR="00EB5061" w:rsidRDefault="00EB5061" w:rsidP="00EB5061">
      <w:pPr>
        <w:jc w:val="right"/>
        <w:rPr>
          <w:rFonts w:cs="Arial"/>
          <w:rtl/>
          <w:lang w:bidi="he-IL"/>
        </w:rPr>
      </w:pPr>
      <w:r>
        <w:rPr>
          <w:rFonts w:cs="Arial"/>
          <w:rtl/>
          <w:lang w:bidi="he-IL"/>
        </w:rPr>
        <w:t>והרב מהר"ר לוי בן חביב</w:t>
      </w:r>
      <w:r>
        <w:rPr>
          <w:rFonts w:cs="Arial" w:hint="cs"/>
          <w:rtl/>
          <w:lang w:bidi="he-IL"/>
        </w:rPr>
        <w:t xml:space="preserve"> (</w:t>
      </w:r>
      <w:r w:rsidRPr="00EB5061">
        <w:rPr>
          <w:rFonts w:cs="Arial" w:hint="cs"/>
          <w:b/>
          <w:bCs/>
          <w:rtl/>
          <w:lang w:bidi="he-IL"/>
        </w:rPr>
        <w:t>מהרלב"ח</w:t>
      </w:r>
      <w:r>
        <w:rPr>
          <w:rFonts w:cs="Arial" w:hint="cs"/>
          <w:rtl/>
          <w:lang w:bidi="he-IL"/>
        </w:rPr>
        <w:t>)</w:t>
      </w:r>
      <w:r>
        <w:rPr>
          <w:rFonts w:cs="Arial"/>
          <w:rtl/>
          <w:lang w:bidi="he-IL"/>
        </w:rPr>
        <w:t xml:space="preserve"> ז"ל חלוק עליו ואמר שאף שלא העידו בגוף המעשה אין הדבר תלוי אלא בידיעה עליו כמו שזה נראה מדברי הרמב"ם ז"ל. ושם אילו היו שואלים הבית דין לעדים השניים אם נתנו הקידושין אי לא ואם ראו שם המקדש היו אומרים שלא נתנו הקדושין ולא ראו המקדש כי בהכרח היה להם לראות זה. ובאמת שהדבר יש לו פני' לכאן ולכאן דברי הרמב"ם ז"ל משתמעי הכי ומשתמעי הכי ממה שאמר בפרק שמונה עשרה מהלכות עדות בתחילת דבריו מה בין הכחשה להזמה וכו' והזמה בעדים עצמן ואלו העדי' שהזימו' אינן יודעין אם נהיה הדבר אם לא נהיה. משמע דוק' שאין העדות אלא בגופן של עדים ואין להם ידיעה מגוף המעשה. וכן כתב בסוף דבריו אבל אם אמר להם אין אנו יודעים אם זה הרג את זה ביום פלוני בירושלים וכו' הרי אלו זוממים ונהרגים הואיל והעדים שהזימום לא השגיחו על עצמה של עדות כלל אם אמת היה או שקר עד כאן. אלמא היכא דהשגיחו ויודעי' הם שהעדות מעיקרא שקר הרי זו הכחשה ולא הזמה</w:t>
      </w:r>
      <w:r>
        <w:rPr>
          <w:rFonts w:cs="Arial" w:hint="cs"/>
          <w:rtl/>
          <w:lang w:bidi="he-IL"/>
        </w:rPr>
        <w:t>.</w:t>
      </w:r>
    </w:p>
    <w:p w14:paraId="4EDF3961" w14:textId="3330B11D" w:rsidR="0054125A" w:rsidRPr="00376455" w:rsidRDefault="0054125A" w:rsidP="0054125A">
      <w:pPr>
        <w:jc w:val="right"/>
        <w:rPr>
          <w:rtl/>
          <w:lang w:bidi="he-IL"/>
        </w:rPr>
      </w:pPr>
      <w:r>
        <w:rPr>
          <w:rFonts w:cs="Arial"/>
          <w:rtl/>
          <w:lang w:bidi="he-IL"/>
        </w:rPr>
        <w:t>ויש לדקדק</w:t>
      </w:r>
      <w:r w:rsidR="004735C9">
        <w:rPr>
          <w:rStyle w:val="FootnoteReference"/>
          <w:rFonts w:cs="Arial"/>
          <w:rtl/>
          <w:lang w:bidi="he-IL"/>
        </w:rPr>
        <w:footnoteReference w:id="7"/>
      </w:r>
      <w:r>
        <w:rPr>
          <w:rFonts w:cs="Arial"/>
          <w:rtl/>
          <w:lang w:bidi="he-IL"/>
        </w:rPr>
        <w:t xml:space="preserve"> במה שכתב הואיל והעדים שהזימום לא השגיחו על עצמה של עדות אם אמת היא או שקר והיאך אפשר להם להשגיח על העדות אם לא היו מצוין שם ולא היל"ל אלא הואיל והם אינם יודעים בעצמה של עדות אם אמת אם שקר. ואפשר לפרש דודאי הכחשה בגופה של עדות ולא יתחייבו על פיהם והזמה בגופן של עדים ומתחייבים על פיהם והיכא דאיתנהו לתרתי דמסהדי אגופה של עדות ואגופן של עדים חזינן אי הני למעקר סהדותא קא אתו וממילא נמצאו זוממים פטורים. ואי לאזומי לעדים קאתו אעפ"י שממילא נמצאת העדו' מוכחשת בהכרח כפי מציאות הענין הרי זו הזמה ופטורים לכך כתב הרמב"ם אם אמרו אין אנו יודעי' אם זה הרג את זה וכו' אבל אנו מעידים שאתם הייתם עמנו שמשמע הלשון שאעפ"י שאפשר שהם יודעים שהיינו ביום אחר מ"מ אלו מוזמים הם והוא והם נהרגים ומה שהוסיף ואמר הואיל והעדי' לא השגיחו על עצמה של עדות הא קמ"ל דאי הוי בענין שיודעים העדות עצמה כגון שראו הם שזה הרג את זה או ראו שלא הרג אבל אלו העדו' לא היו מצויין שם כלל הרי אלו מוזמין אעפ"י שלפי האמת העדות מוכחשת או שהעדות אמת הואיל וכשהזימום לא השגיחו על עצמה של עדות אם אמת היה או שקר לאזומינהו קאתו ולא לאכחושי הרי הם נהרגים</w:t>
      </w:r>
      <w:r w:rsidR="004735C9">
        <w:rPr>
          <w:rFonts w:cs="Arial" w:hint="cs"/>
          <w:rtl/>
          <w:lang w:bidi="he-IL"/>
        </w:rPr>
        <w:t>.</w:t>
      </w:r>
    </w:p>
    <w:sectPr w:rsidR="0054125A" w:rsidRPr="003764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5DFE2" w14:textId="77777777" w:rsidR="00F30AD8" w:rsidRDefault="00F30AD8" w:rsidP="00185656">
      <w:pPr>
        <w:spacing w:after="0" w:line="240" w:lineRule="auto"/>
      </w:pPr>
      <w:r>
        <w:separator/>
      </w:r>
    </w:p>
  </w:endnote>
  <w:endnote w:type="continuationSeparator" w:id="0">
    <w:p w14:paraId="07FF4616" w14:textId="77777777" w:rsidR="00F30AD8" w:rsidRDefault="00F30AD8" w:rsidP="0018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554CB" w14:textId="77777777" w:rsidR="00F30AD8" w:rsidRDefault="00F30AD8" w:rsidP="00185656">
      <w:pPr>
        <w:spacing w:after="0" w:line="240" w:lineRule="auto"/>
      </w:pPr>
      <w:r>
        <w:separator/>
      </w:r>
    </w:p>
  </w:footnote>
  <w:footnote w:type="continuationSeparator" w:id="0">
    <w:p w14:paraId="73F24CF7" w14:textId="77777777" w:rsidR="00F30AD8" w:rsidRDefault="00F30AD8" w:rsidP="00185656">
      <w:pPr>
        <w:spacing w:after="0" w:line="240" w:lineRule="auto"/>
      </w:pPr>
      <w:r>
        <w:continuationSeparator/>
      </w:r>
    </w:p>
  </w:footnote>
  <w:footnote w:id="1">
    <w:p w14:paraId="6A802DC1" w14:textId="4069FA6E" w:rsidR="009E3C7A" w:rsidRPr="009E3C7A" w:rsidRDefault="009E3C7A">
      <w:pPr>
        <w:pStyle w:val="FootnoteText"/>
        <w:rPr>
          <w:sz w:val="16"/>
          <w:szCs w:val="16"/>
          <w:rtl/>
          <w:lang w:bidi="he-IL"/>
        </w:rPr>
      </w:pPr>
      <w:r w:rsidRPr="009E3C7A">
        <w:rPr>
          <w:rStyle w:val="FootnoteReference"/>
          <w:sz w:val="16"/>
          <w:szCs w:val="16"/>
        </w:rPr>
        <w:footnoteRef/>
      </w:r>
      <w:r w:rsidRPr="009E3C7A">
        <w:rPr>
          <w:sz w:val="16"/>
          <w:szCs w:val="16"/>
        </w:rPr>
        <w:t xml:space="preserve"> </w:t>
      </w:r>
      <w:r w:rsidRPr="009E3C7A">
        <w:rPr>
          <w:rFonts w:hint="cs"/>
          <w:sz w:val="16"/>
          <w:szCs w:val="16"/>
          <w:rtl/>
          <w:lang w:bidi="he-IL"/>
        </w:rPr>
        <w:t>פירוש על משניות</w:t>
      </w:r>
    </w:p>
  </w:footnote>
  <w:footnote w:id="2">
    <w:p w14:paraId="3D6B939C" w14:textId="6A204098" w:rsidR="00376455" w:rsidRPr="00376455" w:rsidRDefault="00376455">
      <w:pPr>
        <w:pStyle w:val="FootnoteText"/>
        <w:rPr>
          <w:sz w:val="16"/>
          <w:szCs w:val="16"/>
          <w:lang w:bidi="he-IL"/>
        </w:rPr>
      </w:pPr>
      <w:r w:rsidRPr="00376455">
        <w:rPr>
          <w:rStyle w:val="FootnoteReference"/>
          <w:sz w:val="16"/>
          <w:szCs w:val="16"/>
        </w:rPr>
        <w:footnoteRef/>
      </w:r>
      <w:r w:rsidRPr="00376455">
        <w:rPr>
          <w:sz w:val="16"/>
          <w:szCs w:val="16"/>
        </w:rPr>
        <w:t xml:space="preserve"> </w:t>
      </w:r>
      <w:r w:rsidRPr="00376455">
        <w:rPr>
          <w:sz w:val="16"/>
          <w:szCs w:val="16"/>
          <w:lang w:bidi="he-IL"/>
        </w:rPr>
        <w:t>3 lines from the bottom</w:t>
      </w:r>
    </w:p>
  </w:footnote>
  <w:footnote w:id="3">
    <w:p w14:paraId="0295BEFF" w14:textId="27A85905" w:rsidR="00376455" w:rsidRPr="00376455" w:rsidRDefault="00376455">
      <w:pPr>
        <w:pStyle w:val="FootnoteText"/>
        <w:rPr>
          <w:sz w:val="16"/>
          <w:szCs w:val="16"/>
          <w:lang w:bidi="he-IL"/>
        </w:rPr>
      </w:pPr>
      <w:r w:rsidRPr="00376455">
        <w:rPr>
          <w:rStyle w:val="FootnoteReference"/>
          <w:sz w:val="16"/>
          <w:szCs w:val="16"/>
        </w:rPr>
        <w:footnoteRef/>
      </w:r>
      <w:r w:rsidRPr="00376455">
        <w:rPr>
          <w:sz w:val="16"/>
          <w:szCs w:val="16"/>
        </w:rPr>
        <w:t xml:space="preserve"> </w:t>
      </w:r>
      <w:r w:rsidRPr="00376455">
        <w:rPr>
          <w:sz w:val="16"/>
          <w:szCs w:val="16"/>
          <w:lang w:bidi="he-IL"/>
        </w:rPr>
        <w:t>See below</w:t>
      </w:r>
    </w:p>
  </w:footnote>
  <w:footnote w:id="4">
    <w:p w14:paraId="77378753" w14:textId="22E3188C" w:rsidR="009031A6" w:rsidRPr="00766334" w:rsidRDefault="009031A6">
      <w:pPr>
        <w:pStyle w:val="FootnoteText"/>
        <w:rPr>
          <w:sz w:val="16"/>
          <w:szCs w:val="16"/>
          <w:lang w:bidi="he-IL"/>
        </w:rPr>
      </w:pPr>
      <w:r w:rsidRPr="00766334">
        <w:rPr>
          <w:rStyle w:val="FootnoteReference"/>
          <w:sz w:val="16"/>
          <w:szCs w:val="16"/>
        </w:rPr>
        <w:footnoteRef/>
      </w:r>
      <w:r w:rsidRPr="00766334">
        <w:rPr>
          <w:sz w:val="16"/>
          <w:szCs w:val="16"/>
        </w:rPr>
        <w:t xml:space="preserve"> </w:t>
      </w:r>
      <w:r w:rsidRPr="00766334">
        <w:rPr>
          <w:rFonts w:hint="cs"/>
          <w:sz w:val="16"/>
          <w:szCs w:val="16"/>
          <w:lang w:bidi="he-IL"/>
        </w:rPr>
        <w:t>S</w:t>
      </w:r>
      <w:r w:rsidRPr="00766334">
        <w:rPr>
          <w:sz w:val="16"/>
          <w:szCs w:val="16"/>
          <w:lang w:bidi="he-IL"/>
        </w:rPr>
        <w:t xml:space="preserve">ee below </w:t>
      </w:r>
    </w:p>
  </w:footnote>
  <w:footnote w:id="5">
    <w:p w14:paraId="738D6B89" w14:textId="6A3477EE" w:rsidR="009E0DDA" w:rsidRPr="009E0DDA" w:rsidRDefault="009E0DDA">
      <w:pPr>
        <w:pStyle w:val="FootnoteText"/>
        <w:rPr>
          <w:sz w:val="16"/>
          <w:szCs w:val="16"/>
        </w:rPr>
      </w:pPr>
      <w:r w:rsidRPr="009E0DDA">
        <w:rPr>
          <w:rStyle w:val="FootnoteReference"/>
          <w:sz w:val="16"/>
          <w:szCs w:val="16"/>
        </w:rPr>
        <w:footnoteRef/>
      </w:r>
      <w:r w:rsidRPr="009E0DDA">
        <w:rPr>
          <w:sz w:val="16"/>
          <w:szCs w:val="16"/>
        </w:rPr>
        <w:t xml:space="preserve"> See below </w:t>
      </w:r>
    </w:p>
  </w:footnote>
  <w:footnote w:id="6">
    <w:p w14:paraId="1905A362" w14:textId="6D8B7673" w:rsidR="009031A6" w:rsidRPr="009031A6" w:rsidRDefault="009031A6" w:rsidP="009031A6">
      <w:pPr>
        <w:pStyle w:val="FootnoteText"/>
        <w:rPr>
          <w:sz w:val="16"/>
          <w:szCs w:val="16"/>
          <w:rtl/>
          <w:lang w:bidi="he-IL"/>
        </w:rPr>
      </w:pPr>
      <w:r w:rsidRPr="009031A6">
        <w:rPr>
          <w:rStyle w:val="FootnoteReference"/>
          <w:sz w:val="16"/>
          <w:szCs w:val="16"/>
        </w:rPr>
        <w:footnoteRef/>
      </w:r>
      <w:r w:rsidRPr="009031A6">
        <w:rPr>
          <w:sz w:val="16"/>
          <w:szCs w:val="16"/>
        </w:rPr>
        <w:t xml:space="preserve"> </w:t>
      </w:r>
      <w:r>
        <w:rPr>
          <w:sz w:val="16"/>
          <w:szCs w:val="16"/>
        </w:rPr>
        <w:t>The c</w:t>
      </w:r>
      <w:r w:rsidRPr="009031A6">
        <w:rPr>
          <w:sz w:val="16"/>
          <w:szCs w:val="16"/>
        </w:rPr>
        <w:t xml:space="preserve">ase </w:t>
      </w:r>
      <w:r>
        <w:rPr>
          <w:sz w:val="16"/>
          <w:szCs w:val="16"/>
        </w:rPr>
        <w:t xml:space="preserve">at hand </w:t>
      </w:r>
      <w:r w:rsidR="004735C9">
        <w:rPr>
          <w:sz w:val="16"/>
          <w:szCs w:val="16"/>
        </w:rPr>
        <w:t xml:space="preserve">being discussed by the </w:t>
      </w:r>
      <w:r w:rsidR="004735C9">
        <w:rPr>
          <w:rFonts w:hint="cs"/>
          <w:sz w:val="16"/>
          <w:szCs w:val="16"/>
          <w:rtl/>
          <w:lang w:bidi="he-IL"/>
        </w:rPr>
        <w:t>מהר"י בירב</w:t>
      </w:r>
      <w:r w:rsidR="004735C9">
        <w:rPr>
          <w:sz w:val="16"/>
          <w:szCs w:val="16"/>
          <w:lang w:bidi="he-IL"/>
        </w:rPr>
        <w:t xml:space="preserve">, </w:t>
      </w:r>
      <w:r w:rsidR="004735C9">
        <w:rPr>
          <w:rFonts w:hint="cs"/>
          <w:sz w:val="16"/>
          <w:szCs w:val="16"/>
          <w:rtl/>
          <w:lang w:bidi="he-IL"/>
        </w:rPr>
        <w:t>מהרלב"ח</w:t>
      </w:r>
      <w:r w:rsidR="004735C9">
        <w:rPr>
          <w:sz w:val="16"/>
          <w:szCs w:val="16"/>
          <w:lang w:bidi="he-IL"/>
        </w:rPr>
        <w:t xml:space="preserve">, and </w:t>
      </w:r>
      <w:r w:rsidR="004735C9">
        <w:rPr>
          <w:rFonts w:hint="cs"/>
          <w:sz w:val="16"/>
          <w:szCs w:val="16"/>
          <w:rtl/>
          <w:lang w:bidi="he-IL"/>
        </w:rPr>
        <w:t>מהרי"ט</w:t>
      </w:r>
      <w:r w:rsidR="004735C9">
        <w:rPr>
          <w:sz w:val="16"/>
          <w:szCs w:val="16"/>
          <w:lang w:bidi="he-IL"/>
        </w:rPr>
        <w:t xml:space="preserve"> [see next] </w:t>
      </w:r>
      <w:r>
        <w:rPr>
          <w:sz w:val="16"/>
          <w:szCs w:val="16"/>
        </w:rPr>
        <w:t xml:space="preserve">is </w:t>
      </w:r>
      <w:r w:rsidRPr="009031A6">
        <w:rPr>
          <w:sz w:val="16"/>
          <w:szCs w:val="16"/>
        </w:rPr>
        <w:t xml:space="preserve">where one </w:t>
      </w:r>
      <w:r w:rsidRPr="009031A6">
        <w:rPr>
          <w:sz w:val="16"/>
          <w:szCs w:val="16"/>
          <w:rtl/>
          <w:lang w:bidi="he-IL"/>
        </w:rPr>
        <w:t>כת</w:t>
      </w:r>
      <w:r w:rsidRPr="009031A6">
        <w:rPr>
          <w:sz w:val="16"/>
          <w:szCs w:val="16"/>
        </w:rPr>
        <w:t xml:space="preserve"> of </w:t>
      </w:r>
      <w:r w:rsidRPr="009031A6">
        <w:rPr>
          <w:rFonts w:hint="cs"/>
          <w:sz w:val="16"/>
          <w:szCs w:val="16"/>
          <w:rtl/>
          <w:lang w:bidi="he-IL"/>
        </w:rPr>
        <w:t>עדים</w:t>
      </w:r>
      <w:r w:rsidRPr="009031A6">
        <w:rPr>
          <w:sz w:val="16"/>
          <w:szCs w:val="16"/>
        </w:rPr>
        <w:t xml:space="preserve"> is mei'id about a </w:t>
      </w:r>
      <w:r w:rsidRPr="009031A6">
        <w:rPr>
          <w:rFonts w:hint="cs"/>
          <w:sz w:val="16"/>
          <w:szCs w:val="16"/>
          <w:rtl/>
          <w:lang w:bidi="he-IL"/>
        </w:rPr>
        <w:t>מעשה קידושין</w:t>
      </w:r>
      <w:r w:rsidRPr="009031A6">
        <w:rPr>
          <w:sz w:val="16"/>
          <w:szCs w:val="16"/>
        </w:rPr>
        <w:t xml:space="preserve"> and then a 2</w:t>
      </w:r>
      <w:r w:rsidRPr="009031A6">
        <w:rPr>
          <w:sz w:val="16"/>
          <w:szCs w:val="16"/>
          <w:vertAlign w:val="superscript"/>
        </w:rPr>
        <w:t>nd</w:t>
      </w:r>
      <w:r w:rsidRPr="009031A6">
        <w:rPr>
          <w:sz w:val="16"/>
          <w:szCs w:val="16"/>
        </w:rPr>
        <w:t xml:space="preserve"> </w:t>
      </w:r>
      <w:r w:rsidRPr="009031A6">
        <w:rPr>
          <w:sz w:val="16"/>
          <w:szCs w:val="16"/>
          <w:rtl/>
          <w:lang w:bidi="he-IL"/>
        </w:rPr>
        <w:t>כת</w:t>
      </w:r>
      <w:r w:rsidRPr="009031A6">
        <w:rPr>
          <w:sz w:val="16"/>
          <w:szCs w:val="16"/>
        </w:rPr>
        <w:t xml:space="preserve"> is mei'id that they were in the </w:t>
      </w:r>
      <w:r w:rsidRPr="009031A6">
        <w:rPr>
          <w:rFonts w:hint="cs"/>
          <w:sz w:val="16"/>
          <w:szCs w:val="16"/>
          <w:rtl/>
          <w:lang w:bidi="he-IL"/>
        </w:rPr>
        <w:t>מקום</w:t>
      </w:r>
      <w:r w:rsidRPr="009031A6">
        <w:rPr>
          <w:sz w:val="16"/>
          <w:szCs w:val="16"/>
        </w:rPr>
        <w:t xml:space="preserve"> of the supposed kiddushin (at the supposed </w:t>
      </w:r>
      <w:r w:rsidRPr="009031A6">
        <w:rPr>
          <w:rFonts w:hint="cs"/>
          <w:sz w:val="16"/>
          <w:szCs w:val="16"/>
          <w:rtl/>
          <w:lang w:bidi="he-IL"/>
        </w:rPr>
        <w:t>זמן</w:t>
      </w:r>
      <w:r w:rsidRPr="009031A6">
        <w:rPr>
          <w:sz w:val="16"/>
          <w:szCs w:val="16"/>
        </w:rPr>
        <w:t xml:space="preserve">) and the </w:t>
      </w:r>
      <w:r w:rsidRPr="009031A6">
        <w:rPr>
          <w:rFonts w:hint="cs"/>
          <w:sz w:val="16"/>
          <w:szCs w:val="16"/>
          <w:rtl/>
          <w:lang w:bidi="he-IL"/>
        </w:rPr>
        <w:t>עדים ראשונים</w:t>
      </w:r>
      <w:r w:rsidRPr="009031A6">
        <w:rPr>
          <w:sz w:val="16"/>
          <w:szCs w:val="16"/>
        </w:rPr>
        <w:t xml:space="preserve"> weren’t present to witness any maaseh kiddushin.  </w:t>
      </w:r>
    </w:p>
  </w:footnote>
  <w:footnote w:id="7">
    <w:p w14:paraId="5EC15829" w14:textId="42D1A70B" w:rsidR="004735C9" w:rsidRPr="004735C9" w:rsidRDefault="004735C9">
      <w:pPr>
        <w:pStyle w:val="FootnoteText"/>
        <w:rPr>
          <w:sz w:val="16"/>
          <w:szCs w:val="16"/>
          <w:lang w:bidi="he-IL"/>
        </w:rPr>
      </w:pPr>
      <w:r w:rsidRPr="004735C9">
        <w:rPr>
          <w:rStyle w:val="FootnoteReference"/>
          <w:sz w:val="16"/>
          <w:szCs w:val="16"/>
        </w:rPr>
        <w:footnoteRef/>
      </w:r>
      <w:r w:rsidRPr="004735C9">
        <w:rPr>
          <w:sz w:val="16"/>
          <w:szCs w:val="16"/>
        </w:rPr>
        <w:t xml:space="preserve"> </w:t>
      </w:r>
      <w:r w:rsidRPr="004735C9">
        <w:rPr>
          <w:sz w:val="16"/>
          <w:szCs w:val="16"/>
          <w:lang w:bidi="he-IL"/>
        </w:rPr>
        <w:t xml:space="preserve">This is the opinion of the </w:t>
      </w:r>
      <w:r w:rsidRPr="004735C9">
        <w:rPr>
          <w:rFonts w:hint="cs"/>
          <w:sz w:val="16"/>
          <w:szCs w:val="16"/>
          <w:rtl/>
          <w:lang w:bidi="he-IL"/>
        </w:rPr>
        <w:t>מהרי"ט</w:t>
      </w:r>
      <w:r w:rsidRPr="004735C9">
        <w:rPr>
          <w:sz w:val="16"/>
          <w:szCs w:val="16"/>
          <w:lang w:bidi="he-IL"/>
        </w:rPr>
        <w:t xml:space="preserve"> himself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656"/>
    <w:rsid w:val="00185656"/>
    <w:rsid w:val="002D5697"/>
    <w:rsid w:val="002F6A28"/>
    <w:rsid w:val="00376455"/>
    <w:rsid w:val="003A77A4"/>
    <w:rsid w:val="004735C9"/>
    <w:rsid w:val="0054125A"/>
    <w:rsid w:val="00766334"/>
    <w:rsid w:val="007B06F0"/>
    <w:rsid w:val="008A1AE2"/>
    <w:rsid w:val="009031A6"/>
    <w:rsid w:val="009B1048"/>
    <w:rsid w:val="009E0DDA"/>
    <w:rsid w:val="009E3C7A"/>
    <w:rsid w:val="00A46F84"/>
    <w:rsid w:val="00B14581"/>
    <w:rsid w:val="00EB5061"/>
    <w:rsid w:val="00F30A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6E60"/>
  <w15:chartTrackingRefBased/>
  <w15:docId w15:val="{7E489EAC-799A-4F22-A0E7-17F1A1F7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56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5656"/>
    <w:rPr>
      <w:sz w:val="20"/>
      <w:szCs w:val="20"/>
    </w:rPr>
  </w:style>
  <w:style w:type="character" w:styleId="FootnoteReference">
    <w:name w:val="footnote reference"/>
    <w:basedOn w:val="DefaultParagraphFont"/>
    <w:uiPriority w:val="99"/>
    <w:semiHidden/>
    <w:unhideWhenUsed/>
    <w:rsid w:val="001856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4</cp:revision>
  <cp:lastPrinted>2022-07-07T20:15:00Z</cp:lastPrinted>
  <dcterms:created xsi:type="dcterms:W3CDTF">2022-07-07T18:27:00Z</dcterms:created>
  <dcterms:modified xsi:type="dcterms:W3CDTF">2022-07-08T13:11:00Z</dcterms:modified>
</cp:coreProperties>
</file>