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ED57" w14:textId="77777777" w:rsidR="009E3AB1" w:rsidRPr="009E3AB1" w:rsidRDefault="009E3AB1" w:rsidP="009E3AB1">
      <w:pPr>
        <w:jc w:val="right"/>
        <w:rPr>
          <w:rtl/>
          <w:lang w:bidi="he-IL"/>
        </w:rPr>
      </w:pPr>
      <w:r w:rsidRPr="009E3AB1">
        <w:rPr>
          <w:rFonts w:hint="cs"/>
          <w:rtl/>
          <w:lang w:bidi="he-IL"/>
        </w:rPr>
        <w:t>הרב שמואל דוב ווייס</w:t>
      </w:r>
    </w:p>
    <w:p w14:paraId="4DC723A2" w14:textId="772713DF" w:rsidR="009E3AB1" w:rsidRPr="009E3AB1" w:rsidRDefault="009E3AB1" w:rsidP="009E3AB1">
      <w:pPr>
        <w:jc w:val="center"/>
        <w:rPr>
          <w:rtl/>
          <w:lang w:bidi="he-IL"/>
        </w:rPr>
      </w:pPr>
      <w:r w:rsidRPr="009E3AB1">
        <w:rPr>
          <w:rFonts w:hint="cs"/>
          <w:b/>
          <w:bCs/>
          <w:sz w:val="30"/>
          <w:szCs w:val="30"/>
          <w:u w:val="single"/>
          <w:rtl/>
          <w:lang w:bidi="he-IL"/>
        </w:rPr>
        <w:t>הזמה</w:t>
      </w:r>
      <w:r w:rsidRPr="009E3AB1">
        <w:rPr>
          <w:rFonts w:hint="cs"/>
          <w:rtl/>
          <w:lang w:bidi="he-IL"/>
        </w:rPr>
        <w:t xml:space="preserve"> (#</w:t>
      </w:r>
      <w:r>
        <w:rPr>
          <w:rFonts w:hint="cs"/>
          <w:rtl/>
          <w:lang w:bidi="he-IL"/>
        </w:rPr>
        <w:t>7</w:t>
      </w:r>
      <w:r w:rsidRPr="009E3AB1">
        <w:rPr>
          <w:rFonts w:hint="cs"/>
          <w:rtl/>
          <w:lang w:bidi="he-IL"/>
        </w:rPr>
        <w:t>)</w:t>
      </w:r>
    </w:p>
    <w:p w14:paraId="6BAECF72" w14:textId="1D81E191" w:rsidR="009E3AB1" w:rsidRDefault="009E3AB1" w:rsidP="009E3AB1">
      <w:pPr>
        <w:jc w:val="right"/>
        <w:rPr>
          <w:u w:val="single"/>
          <w:rtl/>
          <w:lang w:bidi="he-IL"/>
        </w:rPr>
      </w:pPr>
      <w:r w:rsidRPr="009E3AB1">
        <w:rPr>
          <w:rFonts w:hint="cs"/>
          <w:u w:val="single"/>
          <w:rtl/>
          <w:lang w:bidi="he-IL"/>
        </w:rPr>
        <w:t>חילוקים בין דיני הזמה</w:t>
      </w:r>
      <w:r w:rsidR="00D6216D" w:rsidRPr="00ED6B06">
        <w:rPr>
          <w:rStyle w:val="FootnoteReference"/>
          <w:rtl/>
          <w:lang w:bidi="he-IL"/>
        </w:rPr>
        <w:footnoteReference w:id="1"/>
      </w:r>
    </w:p>
    <w:p w14:paraId="096791DF" w14:textId="301D4EFF" w:rsidR="009E3AB1" w:rsidRDefault="009E3AB1" w:rsidP="009E3AB1">
      <w:pPr>
        <w:jc w:val="right"/>
        <w:rPr>
          <w:i/>
          <w:iCs/>
          <w:rtl/>
          <w:lang w:bidi="he-IL"/>
        </w:rPr>
      </w:pPr>
      <w:r w:rsidRPr="009E3AB1">
        <w:rPr>
          <w:rFonts w:hint="cs"/>
          <w:i/>
          <w:iCs/>
          <w:rtl/>
          <w:lang w:bidi="he-IL"/>
        </w:rPr>
        <w:t>עונש לנידון ועונש ל</w:t>
      </w:r>
      <w:r>
        <w:rPr>
          <w:rFonts w:hint="cs"/>
          <w:i/>
          <w:iCs/>
          <w:rtl/>
          <w:lang w:bidi="he-IL"/>
        </w:rPr>
        <w:t xml:space="preserve">עדים </w:t>
      </w:r>
      <w:r w:rsidRPr="009E3AB1">
        <w:rPr>
          <w:rFonts w:hint="cs"/>
          <w:i/>
          <w:iCs/>
          <w:rtl/>
          <w:lang w:bidi="he-IL"/>
        </w:rPr>
        <w:t>זוממין</w:t>
      </w:r>
    </w:p>
    <w:p w14:paraId="6F6C583D" w14:textId="3BEE119A" w:rsidR="009E3AB1" w:rsidRDefault="00D6216D" w:rsidP="009E3AB1">
      <w:pPr>
        <w:ind w:right="90"/>
        <w:jc w:val="right"/>
        <w:rPr>
          <w:rtl/>
          <w:lang w:bidi="he-IL"/>
        </w:rPr>
      </w:pPr>
      <w:r w:rsidRPr="00D6216D">
        <w:rPr>
          <w:rFonts w:hint="cs"/>
          <w:b/>
          <w:bCs/>
          <w:rtl/>
          <w:lang w:bidi="he-IL"/>
        </w:rPr>
        <w:t>גמ'</w:t>
      </w:r>
      <w:r>
        <w:rPr>
          <w:rFonts w:hint="cs"/>
          <w:b/>
          <w:bCs/>
          <w:rtl/>
          <w:lang w:bidi="he-IL"/>
        </w:rPr>
        <w:t xml:space="preserve"> </w:t>
      </w:r>
      <w:r w:rsidRPr="00D6216D">
        <w:rPr>
          <w:rFonts w:hint="cs"/>
          <w:rtl/>
          <w:lang w:bidi="he-IL"/>
        </w:rPr>
        <w:t>ה.</w:t>
      </w:r>
      <w:r>
        <w:rPr>
          <w:rFonts w:hint="cs"/>
          <w:rtl/>
          <w:lang w:bidi="he-IL"/>
        </w:rPr>
        <w:t xml:space="preserve"> ["אמר רבא באו שנים ואמרו במזרח... לגמלא פרחא קמ"ל"], </w:t>
      </w:r>
      <w:r w:rsidRPr="00D6216D">
        <w:rPr>
          <w:rFonts w:hint="cs"/>
          <w:b/>
          <w:bCs/>
          <w:rtl/>
          <w:lang w:bidi="he-IL"/>
        </w:rPr>
        <w:t>רש"י</w:t>
      </w:r>
      <w:r>
        <w:rPr>
          <w:rFonts w:hint="cs"/>
          <w:rtl/>
          <w:lang w:bidi="he-IL"/>
        </w:rPr>
        <w:t xml:space="preserve"> שם</w:t>
      </w:r>
    </w:p>
    <w:p w14:paraId="37260488" w14:textId="08E2354A" w:rsidR="00444D43" w:rsidRPr="00444D43" w:rsidRDefault="00444D43" w:rsidP="009E3AB1">
      <w:pPr>
        <w:ind w:right="90"/>
        <w:jc w:val="right"/>
        <w:rPr>
          <w:b/>
          <w:bCs/>
          <w:lang w:bidi="he-IL"/>
        </w:rPr>
      </w:pPr>
      <w:r w:rsidRPr="00444D43">
        <w:rPr>
          <w:rFonts w:hint="cs"/>
          <w:b/>
          <w:bCs/>
          <w:rtl/>
          <w:lang w:bidi="he-IL"/>
        </w:rPr>
        <w:t>גמ'</w:t>
      </w:r>
      <w:r>
        <w:rPr>
          <w:rFonts w:hint="cs"/>
          <w:b/>
          <w:bCs/>
          <w:rtl/>
          <w:lang w:bidi="he-IL"/>
        </w:rPr>
        <w:t xml:space="preserve"> </w:t>
      </w:r>
      <w:r w:rsidRPr="00444D43">
        <w:rPr>
          <w:rFonts w:hint="cs"/>
          <w:rtl/>
          <w:lang w:bidi="he-IL"/>
        </w:rPr>
        <w:t>יבמות</w:t>
      </w:r>
      <w:r>
        <w:rPr>
          <w:rFonts w:hint="cs"/>
          <w:rtl/>
          <w:lang w:bidi="he-IL"/>
        </w:rPr>
        <w:t xml:space="preserve"> קטז. ["ההוא גיטא... אי נמי מילי מסר"], </w:t>
      </w:r>
      <w:r w:rsidRPr="00444D43">
        <w:rPr>
          <w:rFonts w:hint="cs"/>
          <w:b/>
          <w:bCs/>
          <w:rtl/>
          <w:lang w:bidi="he-IL"/>
        </w:rPr>
        <w:t>רש"י</w:t>
      </w:r>
      <w:r>
        <w:rPr>
          <w:rFonts w:hint="cs"/>
          <w:rtl/>
          <w:lang w:bidi="he-IL"/>
        </w:rPr>
        <w:t xml:space="preserve"> שם</w:t>
      </w:r>
    </w:p>
    <w:p w14:paraId="7B26B265" w14:textId="1451F0FE" w:rsidR="00ED6B06" w:rsidRDefault="00ED6B06" w:rsidP="009E3AB1">
      <w:pPr>
        <w:ind w:right="90"/>
        <w:jc w:val="right"/>
        <w:rPr>
          <w:rtl/>
          <w:lang w:bidi="he-IL"/>
        </w:rPr>
      </w:pPr>
      <w:r w:rsidRPr="00ED6B06">
        <w:rPr>
          <w:rFonts w:hint="cs"/>
          <w:b/>
          <w:bCs/>
          <w:rtl/>
          <w:lang w:bidi="he-IL"/>
        </w:rPr>
        <w:t>ריטב"א</w:t>
      </w:r>
      <w:r>
        <w:rPr>
          <w:rFonts w:hint="cs"/>
          <w:b/>
          <w:bCs/>
          <w:rtl/>
          <w:lang w:bidi="he-IL"/>
        </w:rPr>
        <w:t xml:space="preserve"> </w:t>
      </w:r>
      <w:r w:rsidR="00444D43" w:rsidRPr="00444D43">
        <w:rPr>
          <w:rFonts w:hint="cs"/>
          <w:rtl/>
          <w:lang w:bidi="he-IL"/>
        </w:rPr>
        <w:t>מכות</w:t>
      </w:r>
      <w:r w:rsidR="00444D43">
        <w:rPr>
          <w:rFonts w:hint="cs"/>
          <w:b/>
          <w:bCs/>
          <w:rtl/>
          <w:lang w:bidi="he-IL"/>
        </w:rPr>
        <w:t xml:space="preserve"> </w:t>
      </w:r>
      <w:r>
        <w:rPr>
          <w:rFonts w:hint="cs"/>
          <w:rtl/>
          <w:lang w:bidi="he-IL"/>
        </w:rPr>
        <w:t xml:space="preserve">שם (ד"ה מהו דתימא) [עד "... </w:t>
      </w:r>
      <w:r w:rsidR="00444D43">
        <w:rPr>
          <w:rFonts w:hint="cs"/>
          <w:rtl/>
          <w:lang w:bidi="he-IL"/>
        </w:rPr>
        <w:t>מתוך ידינו</w:t>
      </w:r>
      <w:r>
        <w:rPr>
          <w:rFonts w:hint="cs"/>
          <w:rtl/>
          <w:lang w:bidi="he-IL"/>
        </w:rPr>
        <w:t>"]</w:t>
      </w:r>
    </w:p>
    <w:p w14:paraId="3F676131" w14:textId="2FAC6BA1" w:rsidR="00444D43" w:rsidRPr="00444D43" w:rsidRDefault="00444D43" w:rsidP="009E3AB1">
      <w:pPr>
        <w:ind w:right="90"/>
        <w:jc w:val="right"/>
        <w:rPr>
          <w:rtl/>
          <w:lang w:bidi="he-IL"/>
        </w:rPr>
      </w:pPr>
      <w:r w:rsidRPr="00444D43">
        <w:rPr>
          <w:rFonts w:hint="cs"/>
          <w:b/>
          <w:bCs/>
          <w:rtl/>
          <w:lang w:bidi="he-IL"/>
        </w:rPr>
        <w:t>תוספות</w:t>
      </w:r>
      <w:r>
        <w:rPr>
          <w:rFonts w:hint="cs"/>
          <w:rtl/>
          <w:lang w:bidi="he-IL"/>
        </w:rPr>
        <w:t xml:space="preserve"> יבמות שם (ד"ה הכא חיישינן)</w:t>
      </w:r>
    </w:p>
    <w:p w14:paraId="479F162D" w14:textId="6E03300B" w:rsidR="00444D43" w:rsidRDefault="00ED6B06" w:rsidP="009E3AB1">
      <w:pPr>
        <w:ind w:right="90"/>
        <w:jc w:val="right"/>
        <w:rPr>
          <w:rtl/>
          <w:lang w:bidi="he-IL"/>
        </w:rPr>
      </w:pPr>
      <w:r w:rsidRPr="00ED6B06">
        <w:rPr>
          <w:rFonts w:hint="cs"/>
          <w:b/>
          <w:bCs/>
          <w:rtl/>
          <w:lang w:bidi="he-IL"/>
        </w:rPr>
        <w:t>ערוך לנר</w:t>
      </w:r>
      <w:r>
        <w:rPr>
          <w:rFonts w:hint="cs"/>
          <w:b/>
          <w:bCs/>
          <w:rtl/>
          <w:lang w:bidi="he-IL"/>
        </w:rPr>
        <w:t xml:space="preserve"> </w:t>
      </w:r>
      <w:r w:rsidR="00444D43">
        <w:rPr>
          <w:rFonts w:hint="cs"/>
          <w:rtl/>
          <w:lang w:bidi="he-IL"/>
        </w:rPr>
        <w:t>יבמות שם (ד"ה בד"ה הכא)</w:t>
      </w:r>
      <w:r w:rsidR="00444D43">
        <w:rPr>
          <w:rStyle w:val="FootnoteReference"/>
          <w:rtl/>
          <w:lang w:bidi="he-IL"/>
        </w:rPr>
        <w:footnoteReference w:id="2"/>
      </w:r>
      <w:r w:rsidR="00444D43">
        <w:rPr>
          <w:rFonts w:hint="cs"/>
          <w:rtl/>
          <w:lang w:bidi="he-IL"/>
        </w:rPr>
        <w:t xml:space="preserve"> </w:t>
      </w:r>
    </w:p>
    <w:p w14:paraId="5C50E9B1" w14:textId="30D417D4" w:rsidR="00444D43" w:rsidRDefault="00444D43" w:rsidP="009E3AB1">
      <w:pPr>
        <w:ind w:right="90"/>
        <w:jc w:val="right"/>
        <w:rPr>
          <w:rtl/>
          <w:lang w:bidi="he-IL"/>
        </w:rPr>
      </w:pPr>
      <w:r w:rsidRPr="00444D43">
        <w:rPr>
          <w:rFonts w:hint="cs"/>
          <w:b/>
          <w:bCs/>
          <w:rtl/>
          <w:lang w:bidi="he-IL"/>
        </w:rPr>
        <w:t>רמב"ן</w:t>
      </w:r>
      <w:r>
        <w:rPr>
          <w:rFonts w:hint="cs"/>
          <w:b/>
          <w:bCs/>
          <w:rtl/>
          <w:lang w:bidi="he-IL"/>
        </w:rPr>
        <w:t xml:space="preserve"> </w:t>
      </w:r>
      <w:r w:rsidRPr="00444D43">
        <w:rPr>
          <w:rFonts w:hint="cs"/>
          <w:rtl/>
          <w:lang w:bidi="he-IL"/>
        </w:rPr>
        <w:t>מכות</w:t>
      </w:r>
      <w:r>
        <w:rPr>
          <w:rFonts w:hint="cs"/>
          <w:rtl/>
          <w:lang w:bidi="he-IL"/>
        </w:rPr>
        <w:t xml:space="preserve"> שם (ד"ה מהו דתימא)</w:t>
      </w:r>
    </w:p>
    <w:p w14:paraId="53A2FE80" w14:textId="3BD10CCF" w:rsidR="00157256" w:rsidRDefault="00157256" w:rsidP="009E3AB1">
      <w:pPr>
        <w:ind w:right="90"/>
        <w:jc w:val="right"/>
        <w:rPr>
          <w:rtl/>
          <w:lang w:bidi="he-IL"/>
        </w:rPr>
      </w:pPr>
      <w:r w:rsidRPr="00157256">
        <w:rPr>
          <w:rFonts w:hint="cs"/>
          <w:b/>
          <w:bCs/>
          <w:rtl/>
          <w:lang w:bidi="he-IL"/>
        </w:rPr>
        <w:t>תוס' שאנץ</w:t>
      </w:r>
      <w:r w:rsidRPr="00157256">
        <w:rPr>
          <w:rStyle w:val="FootnoteReference"/>
          <w:rtl/>
          <w:lang w:bidi="he-IL"/>
        </w:rPr>
        <w:footnoteReference w:id="3"/>
      </w:r>
      <w:r>
        <w:rPr>
          <w:rFonts w:hint="cs"/>
          <w:b/>
          <w:bCs/>
          <w:rtl/>
          <w:lang w:bidi="he-IL"/>
        </w:rPr>
        <w:t xml:space="preserve"> </w:t>
      </w:r>
      <w:r w:rsidRPr="00157256">
        <w:rPr>
          <w:rFonts w:hint="cs"/>
          <w:rtl/>
          <w:lang w:bidi="he-IL"/>
        </w:rPr>
        <w:t>מכות</w:t>
      </w:r>
      <w:r>
        <w:rPr>
          <w:rFonts w:hint="cs"/>
          <w:rtl/>
          <w:lang w:bidi="he-IL"/>
        </w:rPr>
        <w:t xml:space="preserve"> שם (ד"ה מהו דתימא)</w:t>
      </w:r>
    </w:p>
    <w:p w14:paraId="5DE53498" w14:textId="3495B999" w:rsidR="001E05C5" w:rsidRPr="001E05C5" w:rsidRDefault="001E05C5" w:rsidP="001E05C5">
      <w:pPr>
        <w:ind w:right="90"/>
        <w:jc w:val="right"/>
        <w:rPr>
          <w:rtl/>
          <w:lang w:bidi="he-IL"/>
        </w:rPr>
      </w:pPr>
      <w:r w:rsidRPr="001E05C5">
        <w:rPr>
          <w:b/>
          <w:bCs/>
          <w:rtl/>
          <w:lang w:bidi="he-IL"/>
        </w:rPr>
        <w:t>שו"ת אחיעזר</w:t>
      </w:r>
      <w:r w:rsidRPr="001E05C5">
        <w:rPr>
          <w:rtl/>
          <w:lang w:bidi="he-IL"/>
        </w:rPr>
        <w:t xml:space="preserve"> </w:t>
      </w:r>
      <w:r>
        <w:rPr>
          <w:rFonts w:hint="cs"/>
          <w:rtl/>
          <w:lang w:bidi="he-IL"/>
        </w:rPr>
        <w:t>(</w:t>
      </w:r>
      <w:r w:rsidRPr="001E05C5">
        <w:rPr>
          <w:rtl/>
          <w:lang w:bidi="he-IL"/>
        </w:rPr>
        <w:t>חלק ג</w:t>
      </w:r>
      <w:r>
        <w:rPr>
          <w:rFonts w:hint="cs"/>
          <w:rtl/>
          <w:lang w:bidi="he-IL"/>
        </w:rPr>
        <w:t>'</w:t>
      </w:r>
      <w:r w:rsidRPr="001E05C5">
        <w:rPr>
          <w:rtl/>
          <w:lang w:bidi="he-IL"/>
        </w:rPr>
        <w:t xml:space="preserve"> סימן ט</w:t>
      </w:r>
      <w:r>
        <w:rPr>
          <w:rFonts w:hint="cs"/>
          <w:rtl/>
          <w:lang w:bidi="he-IL"/>
        </w:rPr>
        <w:t>"</w:t>
      </w:r>
      <w:r w:rsidRPr="001E05C5">
        <w:rPr>
          <w:rtl/>
          <w:lang w:bidi="he-IL"/>
        </w:rPr>
        <w:t>ו</w:t>
      </w:r>
      <w:r>
        <w:rPr>
          <w:rFonts w:hint="cs"/>
          <w:rtl/>
          <w:lang w:bidi="he-IL"/>
        </w:rPr>
        <w:t>)</w:t>
      </w:r>
      <w:r>
        <w:rPr>
          <w:rStyle w:val="FootnoteReference"/>
          <w:rtl/>
          <w:lang w:bidi="he-IL"/>
        </w:rPr>
        <w:footnoteReference w:id="4"/>
      </w:r>
    </w:p>
    <w:p w14:paraId="70C099F0" w14:textId="77777777" w:rsidR="00444D43" w:rsidRDefault="00444D43" w:rsidP="009E3AB1">
      <w:pPr>
        <w:ind w:right="90"/>
        <w:jc w:val="right"/>
        <w:rPr>
          <w:rtl/>
          <w:lang w:bidi="he-IL"/>
        </w:rPr>
      </w:pPr>
    </w:p>
    <w:p w14:paraId="1D8383AF" w14:textId="77777777" w:rsidR="00444D43" w:rsidRDefault="00444D43" w:rsidP="009E3AB1">
      <w:pPr>
        <w:ind w:right="90"/>
        <w:jc w:val="right"/>
        <w:rPr>
          <w:rtl/>
          <w:lang w:bidi="he-IL"/>
        </w:rPr>
      </w:pPr>
    </w:p>
    <w:p w14:paraId="3CCD0152" w14:textId="77777777" w:rsidR="00444D43" w:rsidRPr="00444D43" w:rsidRDefault="00444D43" w:rsidP="00444D43">
      <w:pPr>
        <w:ind w:right="90"/>
        <w:jc w:val="right"/>
        <w:rPr>
          <w:u w:val="single"/>
        </w:rPr>
      </w:pPr>
      <w:r w:rsidRPr="00444D43">
        <w:rPr>
          <w:rFonts w:cs="Arial"/>
          <w:u w:val="single"/>
          <w:rtl/>
          <w:lang w:bidi="he-IL"/>
        </w:rPr>
        <w:t>ערוך לנר מסכת יבמות דף קטז עמוד א</w:t>
      </w:r>
    </w:p>
    <w:p w14:paraId="07BDC41E" w14:textId="1FB880DB" w:rsidR="00ED6B06" w:rsidRPr="00ED6B06" w:rsidRDefault="00444D43" w:rsidP="00444D43">
      <w:pPr>
        <w:ind w:right="90"/>
        <w:jc w:val="right"/>
        <w:rPr>
          <w:rFonts w:hint="cs"/>
          <w:b/>
          <w:bCs/>
          <w:rtl/>
          <w:lang w:bidi="he-IL"/>
        </w:rPr>
      </w:pPr>
      <w:r>
        <w:rPr>
          <w:rFonts w:cs="Arial"/>
          <w:rtl/>
          <w:lang w:bidi="he-IL"/>
        </w:rPr>
        <w:t>בד"ה הכא. וא"ת בפ"ק דמכות. אפשר לומר ביישוב קושיא זו דהנ' מה שנעשו העדים זוממים נוגע לשני דברים האחד לפטור הנדון והשני לעונשם בדין הזמה ושניהם הוזכרו במתניתן במכות (ה א) דקאמר הרי אלו זוממים ונהרגין על פיהם הרי בכלל מה דקאמר הרי אלו זוממים אינו רק לפטור הנדון דהא הך דנהרגין פרט אח"כ, והנה המעיין שם במימרות דרבא יראה דשינוי לשון יש בדבריו דבהא דבמזרח בירה ובהא דאמרו בסור' בצפר' נקט לשון הרי אלו זוממין ובאידך מימרות שם לא נקט הך לישנא רק הרי אלו נהרגין או משלמין, ומזה הי' נלענ"ד לומר דאף שפשוט לכל הראשונים דב' מימרות הראשונות ג"כ לענין עונש העדים איירי ומטעם דכתב הריטב"א במכות שם מדקאמר מהו דתימא ניחוש לנהורא בריא או לגמלא פרחא וכי ס"ד דעל מיעוט כזה ידונו הנדון לעולם פטור וליכא ספק רק אי הורגין העדים ע"ש מכ"מ מכח שינוי לשון זה הי' נ"ל לפרש דלעולם רק לענין פטור הנדון דן רבא דס"ד כיון דהעדים העידו עדותן בהכשר רק מכח דבר אחר אנו באין לפטור אותו ולפסול העדים והוי ס"ד דכל דאפשר להחזיק העדים שלא לעשותן עדי שקר ולהוציאם מחזקת כשרות אנו עושין ולכך ניחוש לנהורא בריא ולגמלא פרחא קמ"ל דלא אלא פוטרים הנדון אבל העדים פשיטא דפטורים ועליהם לא דן רבא כלל דכיון דאפשר ע"י נ"ב וגמלא לא מחזיקים אותם כשקרי לדונם מיתה ולכן לא נקט בהני ב' מימרות לשון הרי אלו נהרגין כמו באינך, ובזה יתורץ קושית התוס' אם לא דמסתפינא על אשר דכל הראשונים לא פירשו כן, אכן מהרמב"ם נראה קצת כמו שכתבנו שנקט בדיוק כלשון הגמרא:</w:t>
      </w:r>
      <w:r w:rsidR="00ED6B06">
        <w:rPr>
          <w:rFonts w:hint="cs"/>
          <w:rtl/>
          <w:lang w:bidi="he-IL"/>
        </w:rPr>
        <w:t xml:space="preserve"> </w:t>
      </w:r>
    </w:p>
    <w:p w14:paraId="0EFEE514" w14:textId="77777777" w:rsidR="001E05C5" w:rsidRPr="001E05C5" w:rsidRDefault="001E05C5" w:rsidP="001E05C5">
      <w:pPr>
        <w:ind w:right="90"/>
        <w:jc w:val="right"/>
        <w:rPr>
          <w:u w:val="single"/>
        </w:rPr>
      </w:pPr>
      <w:r w:rsidRPr="001E05C5">
        <w:rPr>
          <w:rFonts w:cs="Arial"/>
          <w:u w:val="single"/>
          <w:rtl/>
          <w:lang w:bidi="he-IL"/>
        </w:rPr>
        <w:t>שו"ת אחיעזר חלק ג סימן טו</w:t>
      </w:r>
    </w:p>
    <w:p w14:paraId="39449C14" w14:textId="29C314C4" w:rsidR="00D6216D" w:rsidRPr="001E05C5" w:rsidRDefault="001E05C5" w:rsidP="001E05C5">
      <w:pPr>
        <w:ind w:left="-90" w:right="90"/>
        <w:jc w:val="right"/>
        <w:rPr>
          <w:rFonts w:hint="cs"/>
          <w:rtl/>
          <w:lang w:bidi="he-IL"/>
        </w:rPr>
      </w:pPr>
      <w:r w:rsidRPr="001E05C5">
        <w:rPr>
          <w:rFonts w:cs="Arial"/>
          <w:rtl/>
          <w:lang w:bidi="he-IL"/>
        </w:rPr>
        <w:t xml:space="preserve">ודרך אגב מצאתי דבר מחודש בתוס' שאנץ במכות שם בהא דאמר מהו דתימא ניחוש לגמלא פרחא קמ"ל, שהקשו דהא ביבמות חיישינן לגמלא פרחא, ותירץ דהתם לענין קיום שטר חיישינן, אבל הכא להרוג רוצח לא חיישינן דמשוי להני עדים זוממים לענין שלא יהרג הרוצח. מיהו למיקטלינהו להני עדים חיישינן לגמלא פרחא ולא </w:t>
      </w:r>
      <w:r w:rsidRPr="001E05C5">
        <w:rPr>
          <w:rFonts w:cs="Arial"/>
          <w:rtl/>
          <w:lang w:bidi="he-IL"/>
        </w:rPr>
        <w:lastRenderedPageBreak/>
        <w:t>מיקטלי ועי' שם בדברי המגיה דמדלא סיים רבא בדבריו ונהרגין כמו שמצינו במשנה מפרש כן. וכן גם במימרא דרבא שלפניה אי כדקיימי במערב בירה מיחזא חזי למזרח בירה אין אלו זוממים ואם לאו הרי אלו זוממים ר"ל דהוי זוממים לענין שלא להרוג הרוצח, אבל לעולם בלדידהו לא קטלינן להו יעוי"ש וזהו חדוש גדול. ויעוי' בריטב"א שם מהו דתימא ניחוש לנהורא בריא פי' לאו למימרא דמשום מהו דתימא דלא הוי אלא במיעוטא נקטול את הנידון בעדותם, אלא לומר דמהו דתימא דנציל את העדים מהאי טעמא ויהיו הוא והם פטורין קמ"ל דאין ניצולין בזה כו' דאזלינן בד"נ בתר רובא בין לקולא בין לחומרא. ועל הדרך הזה מתפרשת אידך דאמרינן בסמוך מהו דתימא ניחוש לגמלא פרחא להציל את העדים מיהת קמ"ל דאפילו להצלה דידהו לא חיישינן לגמלא פרחא. ויעוי"ש מה שהביא אח"כ מדהתו"ס והרמב"ן דמפורש בדבריהם דגם העדים נהרגים. והתוס' כ' לתרץ משום שהעדים לא טענו מידי, והרמב"ן כ' דמשום ושפטו והצילו העדה כל מאי דאפשר למיטען טענינן יעוי"ש. ובאמת צ"ע היכא דהעדים טוענים שיכולים לראות מרחוק ויש להם נהורא מעליא, ומבררים זה שרואים מרחוק איך אפשר להרוג אותם</w:t>
      </w:r>
      <w:r>
        <w:rPr>
          <w:rFonts w:cs="Arial" w:hint="cs"/>
          <w:rtl/>
          <w:lang w:bidi="he-IL"/>
        </w:rPr>
        <w:t>.</w:t>
      </w:r>
    </w:p>
    <w:p w14:paraId="72CDB2BE" w14:textId="77777777" w:rsidR="009E3AB1" w:rsidRPr="009E3AB1" w:rsidRDefault="009E3AB1" w:rsidP="009E3AB1">
      <w:pPr>
        <w:jc w:val="right"/>
        <w:rPr>
          <w:i/>
          <w:iCs/>
          <w:lang w:bidi="he-IL"/>
        </w:rPr>
      </w:pPr>
    </w:p>
    <w:p w14:paraId="4F805C63" w14:textId="77777777" w:rsidR="008530F9" w:rsidRDefault="00DC4468">
      <w:pPr>
        <w:rPr>
          <w:rFonts w:hint="cs"/>
          <w:rtl/>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04FF" w14:textId="77777777" w:rsidR="00DC4468" w:rsidRDefault="00DC4468" w:rsidP="00D6216D">
      <w:pPr>
        <w:spacing w:after="0" w:line="240" w:lineRule="auto"/>
      </w:pPr>
      <w:r>
        <w:separator/>
      </w:r>
    </w:p>
  </w:endnote>
  <w:endnote w:type="continuationSeparator" w:id="0">
    <w:p w14:paraId="03E947FE" w14:textId="77777777" w:rsidR="00DC4468" w:rsidRDefault="00DC4468" w:rsidP="00D6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D603" w14:textId="77777777" w:rsidR="00DC4468" w:rsidRDefault="00DC4468" w:rsidP="00D6216D">
      <w:pPr>
        <w:spacing w:after="0" w:line="240" w:lineRule="auto"/>
      </w:pPr>
      <w:r>
        <w:separator/>
      </w:r>
    </w:p>
  </w:footnote>
  <w:footnote w:type="continuationSeparator" w:id="0">
    <w:p w14:paraId="3132EF68" w14:textId="77777777" w:rsidR="00DC4468" w:rsidRDefault="00DC4468" w:rsidP="00D6216D">
      <w:pPr>
        <w:spacing w:after="0" w:line="240" w:lineRule="auto"/>
      </w:pPr>
      <w:r>
        <w:continuationSeparator/>
      </w:r>
    </w:p>
  </w:footnote>
  <w:footnote w:id="1">
    <w:p w14:paraId="1AB730D9" w14:textId="6D462AE1" w:rsidR="00D6216D" w:rsidRPr="00D6216D" w:rsidRDefault="00D6216D">
      <w:pPr>
        <w:pStyle w:val="FootnoteText"/>
        <w:rPr>
          <w:sz w:val="16"/>
          <w:szCs w:val="16"/>
          <w:lang w:bidi="he-IL"/>
        </w:rPr>
      </w:pPr>
      <w:r w:rsidRPr="00D6216D">
        <w:rPr>
          <w:rStyle w:val="FootnoteReference"/>
          <w:sz w:val="16"/>
          <w:szCs w:val="16"/>
        </w:rPr>
        <w:footnoteRef/>
      </w:r>
      <w:r w:rsidRPr="00D6216D">
        <w:rPr>
          <w:sz w:val="16"/>
          <w:szCs w:val="16"/>
        </w:rPr>
        <w:t xml:space="preserve"> </w:t>
      </w:r>
      <w:r w:rsidRPr="00D6216D">
        <w:rPr>
          <w:rFonts w:hint="cs"/>
          <w:sz w:val="16"/>
          <w:szCs w:val="16"/>
          <w:lang w:bidi="he-IL"/>
        </w:rPr>
        <w:t>I</w:t>
      </w:r>
      <w:r w:rsidRPr="00D6216D">
        <w:rPr>
          <w:sz w:val="16"/>
          <w:szCs w:val="16"/>
          <w:lang w:bidi="he-IL"/>
        </w:rPr>
        <w:t>f you didn’t have a change to finish yesterday’s mekoros, please finish those before moving on to today’s mekoros</w:t>
      </w:r>
    </w:p>
  </w:footnote>
  <w:footnote w:id="2">
    <w:p w14:paraId="5C9AA5F4" w14:textId="74EBC783" w:rsidR="00444D43" w:rsidRPr="00444D43" w:rsidRDefault="00444D43">
      <w:pPr>
        <w:pStyle w:val="FootnoteText"/>
        <w:rPr>
          <w:sz w:val="16"/>
          <w:szCs w:val="16"/>
          <w:lang w:bidi="he-IL"/>
        </w:rPr>
      </w:pPr>
      <w:r w:rsidRPr="00444D43">
        <w:rPr>
          <w:rStyle w:val="FootnoteReference"/>
          <w:sz w:val="16"/>
          <w:szCs w:val="16"/>
        </w:rPr>
        <w:footnoteRef/>
      </w:r>
      <w:r w:rsidRPr="00444D43">
        <w:rPr>
          <w:sz w:val="16"/>
          <w:szCs w:val="16"/>
        </w:rPr>
        <w:t xml:space="preserve"> </w:t>
      </w:r>
      <w:r w:rsidRPr="00444D43">
        <w:rPr>
          <w:sz w:val="16"/>
          <w:szCs w:val="16"/>
          <w:lang w:bidi="he-IL"/>
        </w:rPr>
        <w:t>See below</w:t>
      </w:r>
    </w:p>
  </w:footnote>
  <w:footnote w:id="3">
    <w:p w14:paraId="56A5F309" w14:textId="29594502" w:rsidR="00157256" w:rsidRPr="00157256" w:rsidRDefault="00157256" w:rsidP="00157256">
      <w:pPr>
        <w:pStyle w:val="FootnoteText"/>
        <w:rPr>
          <w:rFonts w:hint="cs"/>
          <w:sz w:val="16"/>
          <w:szCs w:val="16"/>
          <w:rtl/>
          <w:lang w:bidi="he-IL"/>
        </w:rPr>
      </w:pPr>
      <w:r w:rsidRPr="00157256">
        <w:rPr>
          <w:rStyle w:val="FootnoteReference"/>
          <w:sz w:val="16"/>
          <w:szCs w:val="16"/>
        </w:rPr>
        <w:footnoteRef/>
      </w:r>
      <w:r w:rsidRPr="00157256">
        <w:rPr>
          <w:sz w:val="16"/>
          <w:szCs w:val="16"/>
        </w:rPr>
        <w:t xml:space="preserve"> </w:t>
      </w:r>
      <w:r w:rsidRPr="00157256">
        <w:rPr>
          <w:sz w:val="16"/>
          <w:szCs w:val="16"/>
          <w:lang w:bidi="he-IL"/>
        </w:rPr>
        <w:t xml:space="preserve">See the back of the </w:t>
      </w:r>
      <w:r w:rsidRPr="00157256">
        <w:rPr>
          <w:rFonts w:hint="cs"/>
          <w:sz w:val="16"/>
          <w:szCs w:val="16"/>
          <w:rtl/>
          <w:lang w:bidi="he-IL"/>
        </w:rPr>
        <w:t>גמרא</w:t>
      </w:r>
      <w:r w:rsidRPr="00157256">
        <w:rPr>
          <w:sz w:val="16"/>
          <w:szCs w:val="16"/>
          <w:lang w:bidi="he-IL"/>
        </w:rPr>
        <w:t xml:space="preserve"> in </w:t>
      </w:r>
      <w:r w:rsidRPr="00157256">
        <w:rPr>
          <w:rFonts w:hint="cs"/>
          <w:sz w:val="16"/>
          <w:szCs w:val="16"/>
          <w:rtl/>
          <w:lang w:bidi="he-IL"/>
        </w:rPr>
        <w:t>מהדורת</w:t>
      </w:r>
      <w:r w:rsidRPr="00157256">
        <w:rPr>
          <w:rFonts w:hint="cs"/>
          <w:sz w:val="16"/>
          <w:szCs w:val="16"/>
          <w:rtl/>
          <w:lang w:bidi="he-IL"/>
        </w:rPr>
        <w:t xml:space="preserve"> עוז והדר</w:t>
      </w:r>
    </w:p>
  </w:footnote>
  <w:footnote w:id="4">
    <w:p w14:paraId="6EFDF407" w14:textId="5819C974" w:rsidR="001E05C5" w:rsidRPr="001E05C5" w:rsidRDefault="001E05C5">
      <w:pPr>
        <w:pStyle w:val="FootnoteText"/>
        <w:rPr>
          <w:sz w:val="16"/>
          <w:szCs w:val="16"/>
          <w:lang w:bidi="he-IL"/>
        </w:rPr>
      </w:pPr>
      <w:r w:rsidRPr="001E05C5">
        <w:rPr>
          <w:rStyle w:val="FootnoteReference"/>
          <w:sz w:val="16"/>
          <w:szCs w:val="16"/>
        </w:rPr>
        <w:footnoteRef/>
      </w:r>
      <w:r w:rsidRPr="001E05C5">
        <w:rPr>
          <w:sz w:val="16"/>
          <w:szCs w:val="16"/>
        </w:rPr>
        <w:t xml:space="preserve"> </w:t>
      </w:r>
      <w:r w:rsidRPr="001E05C5">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B1"/>
    <w:rsid w:val="00157256"/>
    <w:rsid w:val="001E05C5"/>
    <w:rsid w:val="00444D43"/>
    <w:rsid w:val="008A1AE2"/>
    <w:rsid w:val="009E3AB1"/>
    <w:rsid w:val="00A46F84"/>
    <w:rsid w:val="00D6216D"/>
    <w:rsid w:val="00DC4468"/>
    <w:rsid w:val="00ED6B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7317"/>
  <w15:chartTrackingRefBased/>
  <w15:docId w15:val="{E35BBDB3-29CC-4B13-9C6E-16CB501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16D"/>
    <w:rPr>
      <w:sz w:val="20"/>
      <w:szCs w:val="20"/>
    </w:rPr>
  </w:style>
  <w:style w:type="character" w:styleId="FootnoteReference">
    <w:name w:val="footnote reference"/>
    <w:basedOn w:val="DefaultParagraphFont"/>
    <w:uiPriority w:val="99"/>
    <w:semiHidden/>
    <w:unhideWhenUsed/>
    <w:rsid w:val="00D6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2022-07-06T18:30:00Z</dcterms:created>
  <dcterms:modified xsi:type="dcterms:W3CDTF">2022-07-06T19:12:00Z</dcterms:modified>
</cp:coreProperties>
</file>