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42A8" w14:textId="77777777" w:rsidR="00C82A67" w:rsidRPr="00C82A67" w:rsidRDefault="00C82A67" w:rsidP="00C82A67">
      <w:pPr>
        <w:jc w:val="right"/>
        <w:rPr>
          <w:rtl/>
          <w:lang w:bidi="he-IL"/>
        </w:rPr>
      </w:pPr>
      <w:r w:rsidRPr="00C82A67">
        <w:rPr>
          <w:rFonts w:hint="cs"/>
          <w:rtl/>
          <w:lang w:bidi="he-IL"/>
        </w:rPr>
        <w:t>הרב שמואל דוב ווייס</w:t>
      </w:r>
    </w:p>
    <w:p w14:paraId="7C150297" w14:textId="22EF8C7E" w:rsidR="00C82A67" w:rsidRPr="00C82A67" w:rsidRDefault="00C82A67" w:rsidP="00C82A67">
      <w:pPr>
        <w:jc w:val="center"/>
        <w:rPr>
          <w:rtl/>
          <w:lang w:bidi="he-IL"/>
        </w:rPr>
      </w:pPr>
      <w:r w:rsidRPr="00C82A67">
        <w:rPr>
          <w:rFonts w:hint="cs"/>
          <w:b/>
          <w:bCs/>
          <w:sz w:val="30"/>
          <w:szCs w:val="30"/>
          <w:u w:val="single"/>
          <w:rtl/>
          <w:lang w:bidi="he-IL"/>
        </w:rPr>
        <w:t>הזמה</w:t>
      </w:r>
      <w:r w:rsidRPr="00C82A67">
        <w:rPr>
          <w:rFonts w:hint="cs"/>
          <w:rtl/>
          <w:lang w:bidi="he-IL"/>
        </w:rPr>
        <w:t xml:space="preserve"> (#</w:t>
      </w:r>
      <w:r>
        <w:rPr>
          <w:rFonts w:hint="cs"/>
          <w:rtl/>
          <w:lang w:bidi="he-IL"/>
        </w:rPr>
        <w:t>6</w:t>
      </w:r>
      <w:r w:rsidRPr="00C82A67">
        <w:rPr>
          <w:rFonts w:hint="cs"/>
          <w:rtl/>
          <w:lang w:bidi="he-IL"/>
        </w:rPr>
        <w:t>)</w:t>
      </w:r>
    </w:p>
    <w:p w14:paraId="4D1159B5" w14:textId="77777777" w:rsidR="00C82A67" w:rsidRPr="00C82A67" w:rsidRDefault="00C82A67" w:rsidP="00C82A67">
      <w:pPr>
        <w:jc w:val="right"/>
        <w:rPr>
          <w:u w:val="single"/>
          <w:rtl/>
          <w:lang w:bidi="he-IL"/>
        </w:rPr>
      </w:pPr>
      <w:r w:rsidRPr="00C82A67">
        <w:rPr>
          <w:rFonts w:hint="cs"/>
          <w:u w:val="single"/>
          <w:rtl/>
          <w:lang w:bidi="he-IL"/>
        </w:rPr>
        <w:t>פסול הזמה למפרע</w:t>
      </w:r>
    </w:p>
    <w:p w14:paraId="7DA98FE6" w14:textId="7831C79F" w:rsidR="00910851" w:rsidRPr="00910851" w:rsidRDefault="00910851" w:rsidP="00910851">
      <w:pPr>
        <w:jc w:val="right"/>
        <w:rPr>
          <w:rtl/>
          <w:lang w:bidi="he-IL"/>
        </w:rPr>
      </w:pPr>
      <w:r w:rsidRPr="00910851">
        <w:rPr>
          <w:rFonts w:hint="cs"/>
          <w:b/>
          <w:bCs/>
          <w:rtl/>
          <w:lang w:bidi="he-IL"/>
        </w:rPr>
        <w:t>גמ'</w:t>
      </w:r>
      <w:r w:rsidRPr="00910851">
        <w:rPr>
          <w:rFonts w:hint="cs"/>
          <w:rtl/>
          <w:lang w:bidi="he-IL"/>
        </w:rPr>
        <w:t xml:space="preserve"> </w:t>
      </w:r>
      <w:r w:rsidRPr="00910851">
        <w:rPr>
          <w:rFonts w:hint="cs"/>
          <w:b/>
          <w:bCs/>
          <w:rtl/>
          <w:lang w:bidi="he-IL"/>
        </w:rPr>
        <w:t>ב"ק</w:t>
      </w:r>
      <w:r w:rsidRPr="00910851">
        <w:rPr>
          <w:rFonts w:hint="cs"/>
          <w:rtl/>
          <w:lang w:bidi="he-IL"/>
        </w:rPr>
        <w:t xml:space="preserve"> עב: ["איתמר..."] - עג. [עד "... ביע"ל קג"ם"]</w:t>
      </w:r>
      <w:r w:rsidRPr="00910851">
        <w:rPr>
          <w:vertAlign w:val="superscript"/>
          <w:rtl/>
          <w:lang w:bidi="he-IL"/>
        </w:rPr>
        <w:footnoteReference w:id="1"/>
      </w:r>
      <w:r w:rsidRPr="00910851">
        <w:rPr>
          <w:rFonts w:hint="cs"/>
          <w:rtl/>
          <w:lang w:bidi="he-IL"/>
        </w:rPr>
        <w:t xml:space="preserve">, </w:t>
      </w:r>
      <w:r w:rsidRPr="00910851">
        <w:rPr>
          <w:rFonts w:hint="cs"/>
          <w:b/>
          <w:bCs/>
          <w:rtl/>
          <w:lang w:bidi="he-IL"/>
        </w:rPr>
        <w:t>רש"י</w:t>
      </w:r>
      <w:r w:rsidRPr="00910851">
        <w:rPr>
          <w:rFonts w:hint="cs"/>
          <w:rtl/>
          <w:lang w:bidi="he-IL"/>
        </w:rPr>
        <w:t xml:space="preserve"> שם</w:t>
      </w:r>
    </w:p>
    <w:p w14:paraId="1BD62B14" w14:textId="5EFF0C6A" w:rsidR="006B3306" w:rsidRDefault="00C82A67" w:rsidP="00C82A67">
      <w:pPr>
        <w:jc w:val="right"/>
        <w:rPr>
          <w:b/>
          <w:bCs/>
          <w:rtl/>
          <w:lang w:bidi="he-IL"/>
        </w:rPr>
      </w:pPr>
      <w:r w:rsidRPr="00C82A67">
        <w:rPr>
          <w:rFonts w:hint="cs"/>
          <w:b/>
          <w:bCs/>
          <w:rtl/>
          <w:lang w:bidi="he-IL"/>
        </w:rPr>
        <w:t xml:space="preserve">רמב"ן דברים </w:t>
      </w:r>
      <w:r w:rsidR="006B3306" w:rsidRPr="006B3306">
        <w:rPr>
          <w:rFonts w:hint="cs"/>
          <w:rtl/>
          <w:lang w:bidi="he-IL"/>
        </w:rPr>
        <w:t>י"ט</w:t>
      </w:r>
      <w:r w:rsidR="006B3306">
        <w:rPr>
          <w:rFonts w:hint="cs"/>
          <w:rtl/>
          <w:lang w:bidi="he-IL"/>
        </w:rPr>
        <w:t>:י"ח; י"ט:י"ט; י"ג:ט"ו</w:t>
      </w:r>
    </w:p>
    <w:p w14:paraId="62240F57" w14:textId="6AB39B01" w:rsidR="00C82A67" w:rsidRDefault="00C82A67" w:rsidP="00C82A67">
      <w:pPr>
        <w:jc w:val="right"/>
        <w:rPr>
          <w:rtl/>
          <w:lang w:bidi="he-IL"/>
        </w:rPr>
      </w:pPr>
      <w:r w:rsidRPr="00C82A67">
        <w:rPr>
          <w:rFonts w:hint="cs"/>
          <w:b/>
          <w:bCs/>
          <w:rtl/>
          <w:lang w:bidi="he-IL"/>
        </w:rPr>
        <w:t>רמב"ן</w:t>
      </w:r>
      <w:r w:rsidRPr="00C82A67">
        <w:rPr>
          <w:rFonts w:hint="cs"/>
          <w:rtl/>
          <w:lang w:bidi="he-IL"/>
        </w:rPr>
        <w:t xml:space="preserve"> ב"ב לא. (ד"ה אמר ליה רבא) [עד "... והיינו חדושא"], (ד"ה ושמעתי) [עד "... פירכי דפרכינן"]</w:t>
      </w:r>
    </w:p>
    <w:p w14:paraId="2E858E27" w14:textId="77777777" w:rsidR="00A56BBE" w:rsidRPr="00A56BBE" w:rsidRDefault="00A56BBE" w:rsidP="00A56BBE">
      <w:pPr>
        <w:jc w:val="right"/>
        <w:rPr>
          <w:rtl/>
          <w:lang w:bidi="he-IL"/>
        </w:rPr>
      </w:pPr>
      <w:r w:rsidRPr="00A56BBE">
        <w:rPr>
          <w:rFonts w:hint="cs"/>
          <w:b/>
          <w:bCs/>
          <w:rtl/>
          <w:lang w:bidi="he-IL"/>
        </w:rPr>
        <w:t>פירוש המשניות להרמב"ם</w:t>
      </w:r>
      <w:r w:rsidRPr="00A56BBE">
        <w:rPr>
          <w:rFonts w:hint="cs"/>
          <w:rtl/>
          <w:lang w:bidi="he-IL"/>
        </w:rPr>
        <w:t xml:space="preserve"> (פ"א משנה ד' ד"ה אין העדים)</w:t>
      </w:r>
    </w:p>
    <w:p w14:paraId="54AB3905" w14:textId="1465C9F4" w:rsidR="00A56BBE" w:rsidRPr="00A56BBE" w:rsidRDefault="00A56BBE" w:rsidP="00A56BBE">
      <w:pPr>
        <w:jc w:val="right"/>
        <w:rPr>
          <w:rtl/>
          <w:lang w:bidi="he-IL"/>
        </w:rPr>
      </w:pPr>
      <w:r w:rsidRPr="00A56BBE">
        <w:rPr>
          <w:rFonts w:hint="cs"/>
          <w:b/>
          <w:bCs/>
          <w:rtl/>
          <w:lang w:bidi="he-IL"/>
        </w:rPr>
        <w:t xml:space="preserve">רמב"ם </w:t>
      </w:r>
      <w:r w:rsidRPr="00A56BBE">
        <w:rPr>
          <w:rFonts w:hint="cs"/>
          <w:rtl/>
          <w:lang w:bidi="he-IL"/>
        </w:rPr>
        <w:t>הל' עדות (י"ח:א'-ג')</w:t>
      </w:r>
    </w:p>
    <w:p w14:paraId="074E76C5" w14:textId="69176A59" w:rsidR="00C82A67" w:rsidRDefault="00A56BBE" w:rsidP="00C82A67">
      <w:pPr>
        <w:jc w:val="right"/>
        <w:rPr>
          <w:rtl/>
          <w:lang w:bidi="he-IL"/>
        </w:rPr>
      </w:pPr>
      <w:r w:rsidRPr="00A56BBE">
        <w:rPr>
          <w:rFonts w:hint="cs"/>
          <w:b/>
          <w:bCs/>
          <w:rtl/>
          <w:lang w:bidi="he-IL"/>
        </w:rPr>
        <w:t>כסף משנה</w:t>
      </w:r>
      <w:r>
        <w:rPr>
          <w:rFonts w:hint="cs"/>
          <w:b/>
          <w:bCs/>
          <w:rtl/>
          <w:lang w:bidi="he-IL"/>
        </w:rPr>
        <w:t xml:space="preserve"> </w:t>
      </w:r>
      <w:r w:rsidRPr="00A56BBE">
        <w:rPr>
          <w:rFonts w:hint="cs"/>
          <w:rtl/>
          <w:lang w:bidi="he-IL"/>
        </w:rPr>
        <w:t>שם</w:t>
      </w:r>
      <w:r w:rsidR="0073290D">
        <w:rPr>
          <w:rFonts w:hint="cs"/>
          <w:rtl/>
          <w:lang w:bidi="he-IL"/>
        </w:rPr>
        <w:t xml:space="preserve"> י"ח</w:t>
      </w:r>
      <w:r>
        <w:rPr>
          <w:rFonts w:hint="cs"/>
          <w:rtl/>
          <w:lang w:bidi="he-IL"/>
        </w:rPr>
        <w:t>:ג'</w:t>
      </w:r>
    </w:p>
    <w:p w14:paraId="4257D8AF" w14:textId="224E4773" w:rsidR="00380A2F" w:rsidRDefault="00380A2F" w:rsidP="00380A2F">
      <w:pPr>
        <w:jc w:val="right"/>
        <w:rPr>
          <w:rtl/>
          <w:lang w:bidi="he-IL"/>
        </w:rPr>
      </w:pPr>
      <w:r w:rsidRPr="00380A2F">
        <w:rPr>
          <w:b/>
          <w:bCs/>
          <w:rtl/>
          <w:lang w:bidi="he-IL"/>
        </w:rPr>
        <w:t xml:space="preserve">שו"ת נודע ביהודה </w:t>
      </w:r>
      <w:r>
        <w:rPr>
          <w:rFonts w:hint="cs"/>
          <w:rtl/>
          <w:lang w:bidi="he-IL"/>
        </w:rPr>
        <w:t>(</w:t>
      </w:r>
      <w:r w:rsidRPr="00380A2F">
        <w:rPr>
          <w:rtl/>
          <w:lang w:bidi="he-IL"/>
        </w:rPr>
        <w:t>מהדורא תניינא אבן העזר סימן נ</w:t>
      </w:r>
      <w:r>
        <w:rPr>
          <w:rFonts w:hint="cs"/>
          <w:rtl/>
          <w:lang w:bidi="he-IL"/>
        </w:rPr>
        <w:t>"</w:t>
      </w:r>
      <w:r w:rsidRPr="00380A2F">
        <w:rPr>
          <w:rtl/>
          <w:lang w:bidi="he-IL"/>
        </w:rPr>
        <w:t>ז</w:t>
      </w:r>
      <w:r>
        <w:rPr>
          <w:rFonts w:hint="cs"/>
          <w:rtl/>
          <w:lang w:bidi="he-IL"/>
        </w:rPr>
        <w:t>)</w:t>
      </w:r>
      <w:r>
        <w:rPr>
          <w:rStyle w:val="FootnoteReference"/>
          <w:rtl/>
          <w:lang w:bidi="he-IL"/>
        </w:rPr>
        <w:footnoteReference w:id="2"/>
      </w:r>
    </w:p>
    <w:p w14:paraId="6CFFCE53" w14:textId="4023EDA9" w:rsidR="0073290D" w:rsidRPr="0073290D" w:rsidRDefault="0073290D" w:rsidP="0073290D">
      <w:pPr>
        <w:jc w:val="right"/>
        <w:rPr>
          <w:rtl/>
          <w:lang w:bidi="he-IL"/>
        </w:rPr>
      </w:pPr>
      <w:r w:rsidRPr="0073290D">
        <w:rPr>
          <w:rFonts w:hint="cs"/>
          <w:b/>
          <w:bCs/>
          <w:rtl/>
          <w:lang w:bidi="he-IL"/>
        </w:rPr>
        <w:t>שינויי נוסחאות</w:t>
      </w:r>
      <w:r w:rsidRPr="0073290D">
        <w:rPr>
          <w:rStyle w:val="FootnoteReference"/>
          <w:rtl/>
          <w:lang w:bidi="he-IL"/>
        </w:rPr>
        <w:footnoteReference w:id="3"/>
      </w:r>
      <w:r>
        <w:rPr>
          <w:rFonts w:hint="cs"/>
          <w:b/>
          <w:bCs/>
          <w:rtl/>
          <w:lang w:bidi="he-IL"/>
        </w:rPr>
        <w:t xml:space="preserve"> </w:t>
      </w:r>
      <w:r w:rsidRPr="0073290D">
        <w:rPr>
          <w:rFonts w:hint="cs"/>
          <w:rtl/>
          <w:lang w:bidi="he-IL"/>
        </w:rPr>
        <w:t>(במהדורת פרנקל)</w:t>
      </w:r>
      <w:r w:rsidRPr="0073290D">
        <w:rPr>
          <w:rFonts w:hint="cs"/>
          <w:b/>
          <w:bCs/>
          <w:rtl/>
          <w:lang w:bidi="he-IL"/>
        </w:rPr>
        <w:t xml:space="preserve"> </w:t>
      </w:r>
      <w:r w:rsidRPr="0073290D">
        <w:rPr>
          <w:rFonts w:hint="cs"/>
          <w:rtl/>
          <w:lang w:bidi="he-IL"/>
        </w:rPr>
        <w:t>שם י"ח:ג'</w:t>
      </w:r>
    </w:p>
    <w:p w14:paraId="0E04F697" w14:textId="3FD63E32" w:rsidR="00C82A67" w:rsidRDefault="00C82A67" w:rsidP="00C82A67">
      <w:pPr>
        <w:jc w:val="right"/>
        <w:rPr>
          <w:lang w:bidi="he-IL"/>
        </w:rPr>
      </w:pPr>
      <w:r w:rsidRPr="00C82A67">
        <w:rPr>
          <w:rFonts w:hint="cs"/>
          <w:b/>
          <w:bCs/>
          <w:rtl/>
          <w:lang w:bidi="he-IL"/>
        </w:rPr>
        <w:t>קובץ שיעורים</w:t>
      </w:r>
      <w:r w:rsidRPr="00C82A67">
        <w:rPr>
          <w:rFonts w:hint="cs"/>
          <w:rtl/>
          <w:lang w:bidi="he-IL"/>
        </w:rPr>
        <w:t xml:space="preserve"> ב"ק (אות מ"ג)</w:t>
      </w:r>
    </w:p>
    <w:p w14:paraId="191CEC8B" w14:textId="29D40030" w:rsidR="00125C51" w:rsidRDefault="00125C51" w:rsidP="00125C51">
      <w:pPr>
        <w:jc w:val="right"/>
        <w:rPr>
          <w:rtl/>
          <w:lang w:bidi="he-IL"/>
        </w:rPr>
      </w:pPr>
      <w:r w:rsidRPr="00125C51">
        <w:rPr>
          <w:b/>
          <w:bCs/>
          <w:rtl/>
          <w:lang w:bidi="he-IL"/>
        </w:rPr>
        <w:t xml:space="preserve">דרשות הר"ן </w:t>
      </w:r>
      <w:r w:rsidRPr="00125C51">
        <w:rPr>
          <w:rFonts w:hint="cs"/>
          <w:rtl/>
          <w:lang w:bidi="he-IL"/>
        </w:rPr>
        <w:t>(</w:t>
      </w:r>
      <w:r w:rsidRPr="00125C51">
        <w:rPr>
          <w:rtl/>
          <w:lang w:bidi="he-IL"/>
        </w:rPr>
        <w:t>דרוש י</w:t>
      </w:r>
      <w:r w:rsidRPr="00125C51">
        <w:rPr>
          <w:rFonts w:hint="cs"/>
          <w:rtl/>
          <w:lang w:bidi="he-IL"/>
        </w:rPr>
        <w:t>"</w:t>
      </w:r>
      <w:r w:rsidRPr="00125C51">
        <w:rPr>
          <w:rtl/>
          <w:lang w:bidi="he-IL"/>
        </w:rPr>
        <w:t>א</w:t>
      </w:r>
      <w:r w:rsidRPr="00125C51">
        <w:rPr>
          <w:rFonts w:hint="cs"/>
          <w:rtl/>
          <w:lang w:bidi="he-IL"/>
        </w:rPr>
        <w:t>)</w:t>
      </w:r>
      <w:r w:rsidRPr="00125C51">
        <w:rPr>
          <w:vertAlign w:val="superscript"/>
          <w:rtl/>
          <w:lang w:bidi="he-IL"/>
        </w:rPr>
        <w:footnoteReference w:id="4"/>
      </w:r>
    </w:p>
    <w:p w14:paraId="4517F7A5" w14:textId="2978FE05" w:rsidR="00125C51" w:rsidRDefault="00125C51" w:rsidP="00125C51">
      <w:pPr>
        <w:jc w:val="right"/>
        <w:rPr>
          <w:u w:val="single"/>
          <w:lang w:bidi="he-IL"/>
        </w:rPr>
      </w:pPr>
      <w:r w:rsidRPr="00125C51">
        <w:rPr>
          <w:rFonts w:hint="cs"/>
          <w:u w:val="single"/>
          <w:rtl/>
          <w:lang w:bidi="he-IL"/>
        </w:rPr>
        <w:t>חילוקים בין דיני הזמה</w:t>
      </w:r>
      <w:r w:rsidR="00D01B67">
        <w:rPr>
          <w:rFonts w:hint="cs"/>
          <w:u w:val="single"/>
          <w:rtl/>
          <w:lang w:bidi="he-IL"/>
        </w:rPr>
        <w:t>: עונש ופסול עדות</w:t>
      </w:r>
    </w:p>
    <w:p w14:paraId="70D478DF" w14:textId="60EF4E49" w:rsidR="00125C51" w:rsidRDefault="00192781" w:rsidP="00125C51">
      <w:pPr>
        <w:jc w:val="right"/>
        <w:rPr>
          <w:rtl/>
          <w:lang w:bidi="he-IL"/>
        </w:rPr>
      </w:pPr>
      <w:r w:rsidRPr="00D658A0">
        <w:rPr>
          <w:rFonts w:hint="cs"/>
          <w:b/>
          <w:bCs/>
          <w:rtl/>
          <w:lang w:bidi="he-IL"/>
        </w:rPr>
        <w:t xml:space="preserve">תוס' </w:t>
      </w:r>
      <w:r>
        <w:rPr>
          <w:rFonts w:hint="cs"/>
          <w:rtl/>
          <w:lang w:bidi="he-IL"/>
        </w:rPr>
        <w:t>ב"ק שם</w:t>
      </w:r>
      <w:r w:rsidRPr="00D658A0">
        <w:rPr>
          <w:rFonts w:hint="cs"/>
          <w:rtl/>
          <w:lang w:bidi="he-IL"/>
        </w:rPr>
        <w:t xml:space="preserve"> (ד"ה אין לך בו)</w:t>
      </w:r>
      <w:r>
        <w:rPr>
          <w:rFonts w:hint="cs"/>
          <w:rtl/>
          <w:lang w:bidi="he-IL"/>
        </w:rPr>
        <w:t xml:space="preserve"> ["אין להקשות...</w:t>
      </w:r>
      <w:r>
        <w:rPr>
          <w:rFonts w:hint="cs"/>
          <w:rtl/>
          <w:lang w:bidi="he-IL"/>
        </w:rPr>
        <w:t xml:space="preserve"> לחצאין"]</w:t>
      </w:r>
    </w:p>
    <w:p w14:paraId="579B21B5" w14:textId="161492C2" w:rsidR="00192781" w:rsidRDefault="00192781" w:rsidP="007758F0">
      <w:pPr>
        <w:jc w:val="right"/>
        <w:rPr>
          <w:rtl/>
          <w:lang w:bidi="he-IL"/>
        </w:rPr>
      </w:pPr>
      <w:r w:rsidRPr="00192781">
        <w:rPr>
          <w:rFonts w:hint="cs"/>
          <w:b/>
          <w:bCs/>
          <w:rtl/>
          <w:lang w:bidi="he-IL"/>
        </w:rPr>
        <w:t>משנה</w:t>
      </w:r>
      <w:r>
        <w:rPr>
          <w:rFonts w:hint="cs"/>
          <w:b/>
          <w:bCs/>
          <w:rtl/>
          <w:lang w:bidi="he-IL"/>
        </w:rPr>
        <w:t xml:space="preserve"> </w:t>
      </w:r>
      <w:r w:rsidRPr="00192781">
        <w:rPr>
          <w:rFonts w:hint="cs"/>
          <w:rtl/>
          <w:lang w:bidi="he-IL"/>
        </w:rPr>
        <w:t>ו:</w:t>
      </w:r>
      <w:r>
        <w:rPr>
          <w:rFonts w:hint="cs"/>
          <w:rtl/>
          <w:lang w:bidi="he-IL"/>
        </w:rPr>
        <w:t xml:space="preserve"> ["אין העדים..."</w:t>
      </w:r>
      <w:r w:rsidR="007758F0">
        <w:rPr>
          <w:rFonts w:hint="cs"/>
          <w:rtl/>
          <w:lang w:bidi="he-IL"/>
        </w:rPr>
        <w:t xml:space="preserve"> עד סוף המשנה], </w:t>
      </w:r>
      <w:r w:rsidR="007758F0" w:rsidRPr="007758F0">
        <w:rPr>
          <w:rFonts w:hint="cs"/>
          <w:b/>
          <w:bCs/>
          <w:rtl/>
          <w:lang w:bidi="he-IL"/>
        </w:rPr>
        <w:t>גמ'</w:t>
      </w:r>
      <w:r w:rsidR="007758F0">
        <w:rPr>
          <w:rFonts w:hint="cs"/>
          <w:rtl/>
          <w:lang w:bidi="he-IL"/>
        </w:rPr>
        <w:t xml:space="preserve"> שם ["תנא... אין נהרגין"], ו</w:t>
      </w:r>
      <w:r w:rsidR="007758F0" w:rsidRPr="007758F0">
        <w:rPr>
          <w:rFonts w:hint="cs"/>
          <w:b/>
          <w:bCs/>
          <w:rtl/>
          <w:lang w:bidi="he-IL"/>
        </w:rPr>
        <w:t>רש"י</w:t>
      </w:r>
      <w:r w:rsidR="007758F0">
        <w:rPr>
          <w:rFonts w:hint="cs"/>
          <w:rtl/>
          <w:lang w:bidi="he-IL"/>
        </w:rPr>
        <w:t xml:space="preserve"> שם</w:t>
      </w:r>
    </w:p>
    <w:p w14:paraId="2E4ED9D8" w14:textId="226F464E" w:rsidR="007758F0" w:rsidRDefault="007758F0" w:rsidP="007758F0">
      <w:pPr>
        <w:jc w:val="right"/>
        <w:rPr>
          <w:rtl/>
          <w:lang w:bidi="he-IL"/>
        </w:rPr>
      </w:pPr>
      <w:r w:rsidRPr="007758F0">
        <w:rPr>
          <w:rFonts w:hint="cs"/>
          <w:b/>
          <w:bCs/>
          <w:rtl/>
          <w:lang w:bidi="he-IL"/>
        </w:rPr>
        <w:t>מאירי</w:t>
      </w:r>
      <w:r>
        <w:rPr>
          <w:rFonts w:hint="cs"/>
          <w:rtl/>
          <w:lang w:bidi="he-IL"/>
        </w:rPr>
        <w:t xml:space="preserve"> ה. (ד"ה עדים שהוזמו) [עד "... להכריע"]</w:t>
      </w:r>
    </w:p>
    <w:p w14:paraId="21E8E765" w14:textId="3F1D10CD" w:rsidR="007758F0" w:rsidRDefault="007758F0" w:rsidP="007758F0">
      <w:pPr>
        <w:jc w:val="right"/>
        <w:rPr>
          <w:rtl/>
          <w:lang w:bidi="he-IL"/>
        </w:rPr>
      </w:pPr>
      <w:r w:rsidRPr="007758F0">
        <w:rPr>
          <w:rFonts w:hint="cs"/>
          <w:b/>
          <w:bCs/>
          <w:rtl/>
          <w:lang w:bidi="he-IL"/>
        </w:rPr>
        <w:t>גמ'</w:t>
      </w:r>
      <w:r>
        <w:rPr>
          <w:rFonts w:hint="cs"/>
          <w:b/>
          <w:bCs/>
          <w:rtl/>
          <w:lang w:bidi="he-IL"/>
        </w:rPr>
        <w:t xml:space="preserve"> </w:t>
      </w:r>
      <w:r w:rsidRPr="006F7B38">
        <w:rPr>
          <w:rFonts w:hint="cs"/>
          <w:rtl/>
          <w:lang w:bidi="he-IL"/>
        </w:rPr>
        <w:t>כתובות</w:t>
      </w:r>
      <w:r w:rsidR="006F7B38">
        <w:rPr>
          <w:rFonts w:hint="cs"/>
          <w:rtl/>
          <w:lang w:bidi="he-IL"/>
        </w:rPr>
        <w:t xml:space="preserve"> יט: ["אמר רב ששת..."] - כ. [עד "... אין מכחישין את העדים אלא בפניהם"], ו</w:t>
      </w:r>
      <w:r w:rsidR="006F7B38" w:rsidRPr="006F7B38">
        <w:rPr>
          <w:rFonts w:hint="cs"/>
          <w:b/>
          <w:bCs/>
          <w:rtl/>
          <w:lang w:bidi="he-IL"/>
        </w:rPr>
        <w:t>רש"י</w:t>
      </w:r>
      <w:r w:rsidR="006F7B38">
        <w:rPr>
          <w:rFonts w:hint="cs"/>
          <w:rtl/>
          <w:lang w:bidi="he-IL"/>
        </w:rPr>
        <w:t xml:space="preserve"> שם</w:t>
      </w:r>
    </w:p>
    <w:p w14:paraId="591A4D55" w14:textId="0C767C47" w:rsidR="006F7B38" w:rsidRPr="006F7B38" w:rsidRDefault="006F7B38" w:rsidP="006F7B38">
      <w:pPr>
        <w:jc w:val="right"/>
        <w:rPr>
          <w:rtl/>
          <w:lang w:bidi="he-IL"/>
        </w:rPr>
      </w:pPr>
      <w:r w:rsidRPr="006F7B38">
        <w:rPr>
          <w:rFonts w:hint="cs"/>
          <w:b/>
          <w:bCs/>
          <w:rtl/>
          <w:lang w:bidi="he-IL"/>
        </w:rPr>
        <w:t>שו"ת ריב"ש</w:t>
      </w:r>
      <w:r>
        <w:rPr>
          <w:rFonts w:hint="cs"/>
          <w:b/>
          <w:bCs/>
          <w:rtl/>
          <w:lang w:bidi="he-IL"/>
        </w:rPr>
        <w:t xml:space="preserve"> </w:t>
      </w:r>
      <w:r w:rsidRPr="006F7B38">
        <w:rPr>
          <w:rFonts w:hint="cs"/>
          <w:rtl/>
          <w:lang w:bidi="he-IL"/>
        </w:rPr>
        <w:t>(</w:t>
      </w:r>
      <w:r w:rsidRPr="006F7B38">
        <w:rPr>
          <w:rtl/>
          <w:lang w:bidi="he-IL"/>
        </w:rPr>
        <w:t>סימן רס</w:t>
      </w:r>
      <w:r w:rsidRPr="006F7B38">
        <w:rPr>
          <w:rFonts w:hint="cs"/>
          <w:rtl/>
          <w:lang w:bidi="he-IL"/>
        </w:rPr>
        <w:t>"</w:t>
      </w:r>
      <w:r w:rsidRPr="006F7B38">
        <w:rPr>
          <w:rtl/>
          <w:lang w:bidi="he-IL"/>
        </w:rPr>
        <w:t>ו</w:t>
      </w:r>
      <w:r>
        <w:rPr>
          <w:rFonts w:hint="cs"/>
          <w:rtl/>
          <w:lang w:bidi="he-IL"/>
        </w:rPr>
        <w:t>)</w:t>
      </w:r>
      <w:r>
        <w:rPr>
          <w:rStyle w:val="FootnoteReference"/>
          <w:rtl/>
          <w:lang w:bidi="he-IL"/>
        </w:rPr>
        <w:footnoteReference w:id="5"/>
      </w:r>
    </w:p>
    <w:p w14:paraId="7D1670B8" w14:textId="77777777" w:rsidR="00192781" w:rsidRPr="00125C51" w:rsidRDefault="00192781" w:rsidP="00125C51">
      <w:pPr>
        <w:jc w:val="right"/>
        <w:rPr>
          <w:b/>
          <w:bCs/>
          <w:u w:val="single"/>
          <w:rtl/>
          <w:lang w:bidi="he-IL"/>
        </w:rPr>
      </w:pPr>
    </w:p>
    <w:p w14:paraId="5F6E8938" w14:textId="2E931EAF" w:rsidR="00380A2F" w:rsidRDefault="00380A2F" w:rsidP="00C82A67">
      <w:pPr>
        <w:jc w:val="right"/>
        <w:rPr>
          <w:rtl/>
          <w:lang w:bidi="he-IL"/>
        </w:rPr>
      </w:pPr>
    </w:p>
    <w:p w14:paraId="534FFBC1" w14:textId="77777777" w:rsidR="00380A2F" w:rsidRPr="00380A2F" w:rsidRDefault="00380A2F" w:rsidP="00380A2F">
      <w:pPr>
        <w:jc w:val="right"/>
        <w:rPr>
          <w:u w:val="single"/>
        </w:rPr>
      </w:pPr>
      <w:r w:rsidRPr="00380A2F">
        <w:rPr>
          <w:rFonts w:cs="Arial"/>
          <w:u w:val="single"/>
          <w:rtl/>
          <w:lang w:bidi="he-IL"/>
        </w:rPr>
        <w:t>שו"ת נודע ביהודה מהדורא תניינא - אבן העזר סימן נז</w:t>
      </w:r>
    </w:p>
    <w:p w14:paraId="3E79F5A1" w14:textId="56D96247" w:rsidR="00380A2F" w:rsidRDefault="00380A2F" w:rsidP="00380A2F">
      <w:pPr>
        <w:jc w:val="right"/>
      </w:pPr>
      <w:r>
        <w:rPr>
          <w:rFonts w:cs="Arial"/>
          <w:rtl/>
          <w:lang w:bidi="he-IL"/>
        </w:rPr>
        <w:t xml:space="preserve">והיינו דאם לא גלי לן הקרא בעדים דתרי כמאה הוי אמרינן בכל עדות דאזלינן בתר רוב דעות מכח סברא דהא יותר שכיח שמועטים משקרים מלומר דרבים משקרים רק גזירת הכתוב הוא בעדים דתרי כמאה. ולדעתי זה כוונת הרמב"ם ז"ל בפ' י"ח מהל' עדות הל' ג' וזה לשונו שם, וזו שהאמינה תורה עדות אחרונים על הראשונים גז"ה הוא ואפילו היו עדים הראשונים מאה ובאו שנים והזימום ואמרו אנו מעידים שאתם המאה כולכם עמנו הייתם ביום פלוני במקום פלוני הרי אלו נענשים על פיהם ששנים כמאה ומאה כשנים עכ"ל הרמב"ם, וכתב הכ"מ שם על מה שכתב הרמב"ם גז"ה הוא אמרינן בפ' מרובה ובפ' זה בורר עד זומם חידוש הוא ואף על גב דרבא הוא דקאמר הכי ולית הלכתא כרבא היינו במה דקאמר למפרע אינו נפסל אבל במה דקאמר חידוש הוא בודאי מוסכם הוא עכ"ל </w:t>
      </w:r>
      <w:r>
        <w:rPr>
          <w:rFonts w:cs="Arial"/>
          <w:rtl/>
          <w:lang w:bidi="he-IL"/>
        </w:rPr>
        <w:lastRenderedPageBreak/>
        <w:t>הכ"מ, ולדעתי דברי הכ"מ דחוקים מאד כיון דבגמ' אמרינן טעמא דרבא דמכאן ולהבא הוא נפסל משום דעד זומם חידוש הוא ע"כ דהא בהא תליא וממילא לאביי דסבר למפרע הוא נפסל לא סבר כלל חידוש הוא אלא סבר דאיכא טעמא דנאמנים האחרונים והוא טעם שכתב הטור ח"מ סי' ל"ח דלמה נאמנים האחרונים לומר עמנו הייתם על הראשונים כיון שמעידין על גופן של העדים והוי כאילו העידו עליהם שהרגו את הנפש או שחיללו את השבת והם אינן נאמנים על עצמם לומר לא עשינו כך וכך עכ"ל הטור, ועיין בלח"מ בפי"ח מהל' עדות שכתב דהטור צריך להאי טעמא הואיל ואנן קי"ל כאביי דעד זומם לאו חידוש הוא. וכן מפורש ברמב"ם בפירוש המשנה במס' מכות דף ה' וז"ל ואמרו נהרגין על פיהם ר"ל שיהרגו העדים אלו שהזימו ואף על פי שהם תרי ותרי לפי שהעדות על עצמם של עדים ולא באו על עצמו של של עדיות לא לקיימו ולא לבטלו לפי שהם אומרים אין אנו יודעים אם זה הרג או לא ואין עלינו לדעת עדותם אבל מה שאנו מעידים שאתם הייתם עמנו וכו' לפיכך שומעים דבריהם ויהרגו העדים עכ"ל הרמב"ם. הרי שהרמב"ם כתב טעם למה העדים האחרונים נאמנים ולית ליה עד זומם חידוש הוא כמ"ש הטור</w:t>
      </w:r>
      <w:r>
        <w:rPr>
          <w:rFonts w:cs="Arial" w:hint="cs"/>
          <w:rtl/>
          <w:lang w:bidi="he-IL"/>
        </w:rPr>
        <w:t>:</w:t>
      </w:r>
      <w:r>
        <w:t xml:space="preserve"> </w:t>
      </w:r>
    </w:p>
    <w:p w14:paraId="5D0CE448" w14:textId="3908DE68" w:rsidR="00380A2F" w:rsidRDefault="00380A2F" w:rsidP="00380A2F">
      <w:pPr>
        <w:jc w:val="right"/>
        <w:rPr>
          <w:lang w:bidi="he-IL"/>
        </w:rPr>
      </w:pPr>
      <w:r>
        <w:rPr>
          <w:rFonts w:cs="Arial"/>
          <w:rtl/>
          <w:lang w:bidi="he-IL"/>
        </w:rPr>
        <w:t>לכן נראה לי דגם הרמב"ם בחיבורו הגדול יד החזקה לא חזר ממה שכתב בפירוש המשנה שיש טעם בדבר ועד זומם לאו חידוש הוא כאביי ומ"ש הרמב"ם גז"ה הוא קאי על מה שכתב אח"כ אפי' הראשונים הם מאה ואחרונים שנים נאמנים השנים האחרונים על מאה הראשונים ששנים כמאה ומאה כשנים זה הוא גזה"כ. וא"ל אכתי נימא דעד זומם חידוש הוא דהאחרונים נאמנים על הראשונים אפילו הם מאה. זה אינו שזה החידוש אינו בעד זומם ובכל עדות שבעולם גזירת הכתוב שיהיו תרי כמאה כמו שמפורש במשנה מכות דף ה' ע"ב לענין נמצא אחד מהם קרוב או פסול וכדומה ואין לעדים זוממים בזה יתר שאת משאר עדות ויצא לנו זה מקרא דע"פ שנים עדים או שלשה עדים יומת המת כמו דאיתא במשנה הנ"ל וזה גז"ה לא נאמר על עד זומם לחוד כ"א על כל עדות. ורבא דאמר עד זומם חידוש הוא דמאי חזית דסמכת אהני סמוך אהני ובזה פליג אביי וסובר דאין זה חידוש מטעם שכתב הרמב"ם בפירוש המשנה והטור כיון שמעידין על גופן של עדים הוי כמו שאומרים שחיללו את השבת, ובדרוש אשר דרשתי בבה"כ מייזל בשבת חנוכה שנת תקנ"ב הארכתי בזה ואין כאן מקומו</w:t>
      </w:r>
      <w:r>
        <w:rPr>
          <w:rFonts w:hint="cs"/>
          <w:rtl/>
          <w:lang w:bidi="he-IL"/>
        </w:rPr>
        <w:t>:</w:t>
      </w:r>
    </w:p>
    <w:p w14:paraId="4B073779" w14:textId="77777777" w:rsidR="00125C51" w:rsidRPr="00125C51" w:rsidRDefault="00125C51" w:rsidP="00125C51">
      <w:pPr>
        <w:jc w:val="right"/>
        <w:rPr>
          <w:u w:val="single"/>
          <w:rtl/>
          <w:lang w:bidi="he-IL"/>
        </w:rPr>
      </w:pPr>
      <w:r w:rsidRPr="00125C51">
        <w:rPr>
          <w:u w:val="single"/>
          <w:rtl/>
          <w:lang w:bidi="he-IL"/>
        </w:rPr>
        <w:t>דרשות הר"ן דרוש י</w:t>
      </w:r>
      <w:r w:rsidRPr="00125C51">
        <w:rPr>
          <w:rFonts w:hint="cs"/>
          <w:u w:val="single"/>
          <w:rtl/>
          <w:lang w:bidi="he-IL"/>
        </w:rPr>
        <w:t>"</w:t>
      </w:r>
      <w:r w:rsidRPr="00125C51">
        <w:rPr>
          <w:u w:val="single"/>
          <w:rtl/>
          <w:lang w:bidi="he-IL"/>
        </w:rPr>
        <w:t>א</w:t>
      </w:r>
      <w:r w:rsidRPr="00125C51">
        <w:rPr>
          <w:u w:val="single"/>
          <w:lang w:bidi="he-IL"/>
        </w:rPr>
        <w:t xml:space="preserve">  </w:t>
      </w:r>
    </w:p>
    <w:p w14:paraId="6EE7FAD7" w14:textId="67243A9F" w:rsidR="00125C51" w:rsidRDefault="00125C51" w:rsidP="00125C51">
      <w:pPr>
        <w:jc w:val="right"/>
        <w:rPr>
          <w:rtl/>
          <w:lang w:bidi="he-IL"/>
        </w:rPr>
      </w:pPr>
      <w:r w:rsidRPr="00125C51">
        <w:rPr>
          <w:rtl/>
          <w:lang w:bidi="he-IL"/>
        </w:rPr>
        <w:t>ולא יסתור [זה] מה שאמרו רבותינו ז"ל (שם) דעדים זוממין חידוש הוא, דמאי חזית דסמכת אהני, [דהם] רוצים לומר שאין דרך התורה לסמוך על הנראה מהמעשה אם הוא אמת אם לאו, כי אם על עדות שני עדים, שהרי האמינה התורה שני קלי עולם כל זמן שלא יהו פסולים להעיד, כמשה ושמואל שידענו בהם שלא ישנו שום דבר אפילו בשיחה קלה. הנה אם כן, [זה ש]נסמוך (יותר) כאן על המזימין יותר מהמוזמין, מפני היות דברי המזימין, יותר נראין שיהו אמת, הוא חידוש ויציאה מדרך התורה בשאר המקומות</w:t>
      </w:r>
      <w:r w:rsidRPr="00125C51">
        <w:rPr>
          <w:rFonts w:hint="cs"/>
          <w:rtl/>
          <w:lang w:bidi="he-IL"/>
        </w:rPr>
        <w:t>.</w:t>
      </w:r>
    </w:p>
    <w:p w14:paraId="202E9DD5" w14:textId="6D6A366F" w:rsidR="006F7B38" w:rsidRPr="006F7B38" w:rsidRDefault="006F7B38" w:rsidP="006F7B38">
      <w:pPr>
        <w:jc w:val="right"/>
        <w:rPr>
          <w:u w:val="single"/>
        </w:rPr>
      </w:pPr>
      <w:r w:rsidRPr="006F7B38">
        <w:rPr>
          <w:rFonts w:cs="Arial"/>
          <w:u w:val="single"/>
          <w:rtl/>
          <w:lang w:bidi="he-IL"/>
        </w:rPr>
        <w:t>שו"ת הריב"ש סימן רס</w:t>
      </w:r>
      <w:r>
        <w:rPr>
          <w:rFonts w:cs="Arial" w:hint="cs"/>
          <w:u w:val="single"/>
          <w:rtl/>
          <w:lang w:bidi="he-IL"/>
        </w:rPr>
        <w:t>"</w:t>
      </w:r>
      <w:r w:rsidRPr="006F7B38">
        <w:rPr>
          <w:rFonts w:cs="Arial"/>
          <w:u w:val="single"/>
          <w:rtl/>
          <w:lang w:bidi="he-IL"/>
        </w:rPr>
        <w:t>ו</w:t>
      </w:r>
    </w:p>
    <w:p w14:paraId="73E9C5F8" w14:textId="61E122ED" w:rsidR="006F7B38" w:rsidRPr="00125C51" w:rsidRDefault="006F7B38" w:rsidP="006F7B38">
      <w:pPr>
        <w:jc w:val="right"/>
        <w:rPr>
          <w:rFonts w:hint="cs"/>
          <w:rtl/>
        </w:rPr>
      </w:pPr>
      <w:r>
        <w:rPr>
          <w:rFonts w:cs="Arial"/>
          <w:rtl/>
          <w:lang w:bidi="he-IL"/>
        </w:rPr>
        <w:t>והכי נמי אף על פי שלא הוזם בפניו ואינה הזמה לענוש אותו מכאשר זמם, מ"מ עדותו בטלה כיון שהעידו בגופו. וה"ה נמי אם היו מעידין בשניהם. והרי זה כההיא דתנן (מכות ה':) שאין העדים נעשין זוממין עד שיוזמו כולן. וכן עד שיגמר הדין, דהיינו לענין עונש העדים. אבל עדותן בטלה ופסולין הן לכל עדות שבתורה, וכמש"כ הרמב"ם ז"ל (פ"כ מהלכות עדות). וכן הדין נמי בעדים שהוזמו שלא בפניהם. וכן נראה מלשון רש"י ז"ל שכתב שם נהי דהזמה לא הויא לענשן לא נפש ולא ממון, הכחשה הויא לבטל עדותן ע"כ</w:t>
      </w:r>
      <w:r w:rsidR="00D01B67">
        <w:rPr>
          <w:rFonts w:cs="Arial" w:hint="cs"/>
          <w:rtl/>
          <w:lang w:bidi="he-IL"/>
        </w:rPr>
        <w:t>.</w:t>
      </w:r>
    </w:p>
    <w:p w14:paraId="24491972" w14:textId="77777777" w:rsidR="00125C51" w:rsidRPr="00C82A67" w:rsidRDefault="00125C51" w:rsidP="00380A2F">
      <w:pPr>
        <w:jc w:val="right"/>
        <w:rPr>
          <w:rFonts w:hint="cs"/>
          <w:rtl/>
        </w:rPr>
      </w:pPr>
    </w:p>
    <w:p w14:paraId="19EC08C6" w14:textId="77777777" w:rsidR="00C82A67" w:rsidRPr="00C82A67" w:rsidRDefault="00C82A67" w:rsidP="00C82A67">
      <w:pPr>
        <w:jc w:val="right"/>
        <w:rPr>
          <w:rtl/>
          <w:lang w:bidi="he-IL"/>
        </w:rPr>
      </w:pPr>
    </w:p>
    <w:p w14:paraId="1A1B24B2" w14:textId="77777777" w:rsidR="008530F9" w:rsidRDefault="00000000" w:rsidP="00C82A67">
      <w:pPr>
        <w:jc w:val="right"/>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714C" w14:textId="77777777" w:rsidR="008510E5" w:rsidRDefault="008510E5" w:rsidP="00910851">
      <w:pPr>
        <w:spacing w:after="0" w:line="240" w:lineRule="auto"/>
      </w:pPr>
      <w:r>
        <w:separator/>
      </w:r>
    </w:p>
  </w:endnote>
  <w:endnote w:type="continuationSeparator" w:id="0">
    <w:p w14:paraId="7C8F0B53" w14:textId="77777777" w:rsidR="008510E5" w:rsidRDefault="008510E5" w:rsidP="0091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3B33" w14:textId="77777777" w:rsidR="008510E5" w:rsidRDefault="008510E5" w:rsidP="00910851">
      <w:pPr>
        <w:spacing w:after="0" w:line="240" w:lineRule="auto"/>
      </w:pPr>
      <w:r>
        <w:separator/>
      </w:r>
    </w:p>
  </w:footnote>
  <w:footnote w:type="continuationSeparator" w:id="0">
    <w:p w14:paraId="39E654CB" w14:textId="77777777" w:rsidR="008510E5" w:rsidRDefault="008510E5" w:rsidP="00910851">
      <w:pPr>
        <w:spacing w:after="0" w:line="240" w:lineRule="auto"/>
      </w:pPr>
      <w:r>
        <w:continuationSeparator/>
      </w:r>
    </w:p>
  </w:footnote>
  <w:footnote w:id="1">
    <w:p w14:paraId="741F483C" w14:textId="251BB9ED" w:rsidR="00910851" w:rsidRPr="00524F23" w:rsidRDefault="00910851" w:rsidP="0073290D">
      <w:pPr>
        <w:pStyle w:val="FootnoteText"/>
        <w:rPr>
          <w:sz w:val="16"/>
          <w:szCs w:val="16"/>
          <w:lang w:bidi="he-IL"/>
        </w:rPr>
      </w:pPr>
      <w:r w:rsidRPr="00524F23">
        <w:rPr>
          <w:rStyle w:val="FootnoteReference"/>
          <w:sz w:val="16"/>
          <w:szCs w:val="16"/>
        </w:rPr>
        <w:footnoteRef/>
      </w:r>
      <w:r w:rsidRPr="00524F23">
        <w:rPr>
          <w:sz w:val="16"/>
          <w:szCs w:val="16"/>
        </w:rPr>
        <w:t xml:space="preserve"> </w:t>
      </w:r>
      <w:r w:rsidRPr="00524F23">
        <w:rPr>
          <w:sz w:val="16"/>
          <w:szCs w:val="16"/>
          <w:lang w:bidi="he-IL"/>
        </w:rPr>
        <w:t xml:space="preserve">Given </w:t>
      </w:r>
      <w:r>
        <w:rPr>
          <w:sz w:val="16"/>
          <w:szCs w:val="16"/>
          <w:lang w:bidi="he-IL"/>
        </w:rPr>
        <w:t xml:space="preserve">past shiurim, reread this </w:t>
      </w:r>
      <w:r>
        <w:rPr>
          <w:rFonts w:hint="cs"/>
          <w:sz w:val="16"/>
          <w:szCs w:val="16"/>
          <w:rtl/>
          <w:lang w:bidi="he-IL"/>
        </w:rPr>
        <w:t>גמרא</w:t>
      </w:r>
      <w:r>
        <w:rPr>
          <w:sz w:val="16"/>
          <w:szCs w:val="16"/>
          <w:lang w:bidi="he-IL"/>
        </w:rPr>
        <w:t xml:space="preserve"> and try to understand the </w:t>
      </w:r>
      <w:r>
        <w:rPr>
          <w:rFonts w:hint="cs"/>
          <w:sz w:val="16"/>
          <w:szCs w:val="16"/>
          <w:rtl/>
          <w:lang w:bidi="he-IL"/>
        </w:rPr>
        <w:t>מחלוקת אביי ורבא</w:t>
      </w:r>
      <w:r w:rsidR="006B3306">
        <w:rPr>
          <w:sz w:val="16"/>
          <w:szCs w:val="16"/>
          <w:lang w:bidi="he-IL"/>
        </w:rPr>
        <w:t xml:space="preserve"> according to the different ways we have been discussing.</w:t>
      </w:r>
    </w:p>
  </w:footnote>
  <w:footnote w:id="2">
    <w:p w14:paraId="28F9CE96" w14:textId="1194AF37" w:rsidR="00380A2F" w:rsidRPr="00380A2F" w:rsidRDefault="00380A2F">
      <w:pPr>
        <w:pStyle w:val="FootnoteText"/>
        <w:rPr>
          <w:rFonts w:hint="cs"/>
          <w:sz w:val="16"/>
          <w:szCs w:val="16"/>
          <w:lang w:bidi="he-IL"/>
        </w:rPr>
      </w:pPr>
      <w:r w:rsidRPr="00380A2F">
        <w:rPr>
          <w:rStyle w:val="FootnoteReference"/>
          <w:sz w:val="16"/>
          <w:szCs w:val="16"/>
        </w:rPr>
        <w:footnoteRef/>
      </w:r>
      <w:r w:rsidRPr="00380A2F">
        <w:rPr>
          <w:sz w:val="16"/>
          <w:szCs w:val="16"/>
        </w:rPr>
        <w:t xml:space="preserve"> </w:t>
      </w:r>
      <w:r w:rsidRPr="00380A2F">
        <w:rPr>
          <w:rFonts w:hint="cs"/>
          <w:sz w:val="16"/>
          <w:szCs w:val="16"/>
          <w:lang w:bidi="he-IL"/>
        </w:rPr>
        <w:t>S</w:t>
      </w:r>
      <w:r w:rsidRPr="00380A2F">
        <w:rPr>
          <w:sz w:val="16"/>
          <w:szCs w:val="16"/>
          <w:lang w:bidi="he-IL"/>
        </w:rPr>
        <w:t xml:space="preserve">ee </w:t>
      </w:r>
      <w:proofErr w:type="gramStart"/>
      <w:r w:rsidRPr="00380A2F">
        <w:rPr>
          <w:sz w:val="16"/>
          <w:szCs w:val="16"/>
          <w:lang w:bidi="he-IL"/>
        </w:rPr>
        <w:t xml:space="preserve">below </w:t>
      </w:r>
      <w:r>
        <w:rPr>
          <w:rFonts w:hint="cs"/>
          <w:sz w:val="16"/>
          <w:szCs w:val="16"/>
          <w:rtl/>
          <w:lang w:bidi="he-IL"/>
        </w:rPr>
        <w:t>]</w:t>
      </w:r>
      <w:r w:rsidR="00ED1B78">
        <w:rPr>
          <w:sz w:val="16"/>
          <w:szCs w:val="16"/>
          <w:lang w:bidi="he-IL"/>
        </w:rPr>
        <w:t>n</w:t>
      </w:r>
      <w:r>
        <w:rPr>
          <w:sz w:val="16"/>
          <w:szCs w:val="16"/>
          <w:lang w:bidi="he-IL"/>
        </w:rPr>
        <w:t>ote</w:t>
      </w:r>
      <w:proofErr w:type="gramEnd"/>
      <w:r w:rsidR="00ED1B78">
        <w:rPr>
          <w:sz w:val="16"/>
          <w:szCs w:val="16"/>
          <w:lang w:bidi="he-IL"/>
        </w:rPr>
        <w:t xml:space="preserve"> that</w:t>
      </w:r>
      <w:r>
        <w:rPr>
          <w:sz w:val="16"/>
          <w:szCs w:val="16"/>
          <w:lang w:bidi="he-IL"/>
        </w:rPr>
        <w:t xml:space="preserve"> the </w:t>
      </w:r>
      <w:r>
        <w:rPr>
          <w:rFonts w:hint="cs"/>
          <w:sz w:val="16"/>
          <w:szCs w:val="16"/>
          <w:rtl/>
          <w:lang w:bidi="he-IL"/>
        </w:rPr>
        <w:t>צל"ח</w:t>
      </w:r>
      <w:r>
        <w:rPr>
          <w:sz w:val="16"/>
          <w:szCs w:val="16"/>
          <w:lang w:bidi="he-IL"/>
        </w:rPr>
        <w:t xml:space="preserve"> and </w:t>
      </w:r>
      <w:r>
        <w:rPr>
          <w:rFonts w:hint="cs"/>
          <w:sz w:val="16"/>
          <w:szCs w:val="16"/>
          <w:rtl/>
          <w:lang w:bidi="he-IL"/>
        </w:rPr>
        <w:t>נודה ביהודה</w:t>
      </w:r>
      <w:r>
        <w:rPr>
          <w:sz w:val="16"/>
          <w:szCs w:val="16"/>
          <w:lang w:bidi="he-IL"/>
        </w:rPr>
        <w:t xml:space="preserve"> are written by the same person: R’ </w:t>
      </w:r>
      <w:proofErr w:type="spellStart"/>
      <w:r>
        <w:rPr>
          <w:sz w:val="16"/>
          <w:szCs w:val="16"/>
          <w:lang w:bidi="he-IL"/>
        </w:rPr>
        <w:t>Yechezker</w:t>
      </w:r>
      <w:proofErr w:type="spellEnd"/>
      <w:r>
        <w:rPr>
          <w:sz w:val="16"/>
          <w:szCs w:val="16"/>
          <w:lang w:bidi="he-IL"/>
        </w:rPr>
        <w:t xml:space="preserve"> Landau</w:t>
      </w:r>
      <w:r w:rsidR="00ED1B78">
        <w:rPr>
          <w:sz w:val="16"/>
          <w:szCs w:val="16"/>
          <w:lang w:bidi="he-IL"/>
        </w:rPr>
        <w:t>]</w:t>
      </w:r>
      <w:r>
        <w:rPr>
          <w:sz w:val="16"/>
          <w:szCs w:val="16"/>
          <w:lang w:bidi="he-IL"/>
        </w:rPr>
        <w:t xml:space="preserve"> </w:t>
      </w:r>
    </w:p>
  </w:footnote>
  <w:footnote w:id="3">
    <w:p w14:paraId="3D613A18" w14:textId="658CBB4E" w:rsidR="0073290D" w:rsidRPr="0073290D" w:rsidRDefault="0073290D">
      <w:pPr>
        <w:pStyle w:val="FootnoteText"/>
        <w:rPr>
          <w:rFonts w:hint="cs"/>
          <w:sz w:val="16"/>
          <w:szCs w:val="16"/>
          <w:lang w:bidi="he-IL"/>
        </w:rPr>
      </w:pPr>
      <w:r w:rsidRPr="0073290D">
        <w:rPr>
          <w:rStyle w:val="FootnoteReference"/>
          <w:sz w:val="16"/>
          <w:szCs w:val="16"/>
        </w:rPr>
        <w:footnoteRef/>
      </w:r>
      <w:r w:rsidRPr="0073290D">
        <w:rPr>
          <w:sz w:val="16"/>
          <w:szCs w:val="16"/>
        </w:rPr>
        <w:t xml:space="preserve"> </w:t>
      </w:r>
      <w:r>
        <w:rPr>
          <w:rFonts w:hint="cs"/>
          <w:sz w:val="16"/>
          <w:szCs w:val="16"/>
          <w:rtl/>
          <w:lang w:bidi="he-IL"/>
        </w:rPr>
        <w:t>יישר כח</w:t>
      </w:r>
      <w:r>
        <w:rPr>
          <w:sz w:val="16"/>
          <w:szCs w:val="16"/>
          <w:lang w:bidi="he-IL"/>
        </w:rPr>
        <w:t xml:space="preserve"> to Aryeh </w:t>
      </w:r>
      <w:proofErr w:type="spellStart"/>
      <w:r>
        <w:rPr>
          <w:sz w:val="16"/>
          <w:szCs w:val="16"/>
          <w:lang w:bidi="he-IL"/>
        </w:rPr>
        <w:t>Stiber</w:t>
      </w:r>
      <w:proofErr w:type="spellEnd"/>
      <w:r>
        <w:rPr>
          <w:sz w:val="16"/>
          <w:szCs w:val="16"/>
          <w:lang w:bidi="he-IL"/>
        </w:rPr>
        <w:t xml:space="preserve"> for being </w:t>
      </w:r>
      <w:r>
        <w:rPr>
          <w:rFonts w:hint="cs"/>
          <w:sz w:val="16"/>
          <w:szCs w:val="16"/>
          <w:rtl/>
          <w:lang w:bidi="he-IL"/>
        </w:rPr>
        <w:t>מכוון</w:t>
      </w:r>
      <w:r>
        <w:rPr>
          <w:sz w:val="16"/>
          <w:szCs w:val="16"/>
          <w:lang w:bidi="he-IL"/>
        </w:rPr>
        <w:t xml:space="preserve"> to this </w:t>
      </w:r>
      <w:r>
        <w:rPr>
          <w:rFonts w:hint="cs"/>
          <w:sz w:val="16"/>
          <w:szCs w:val="16"/>
          <w:rtl/>
          <w:lang w:bidi="he-IL"/>
        </w:rPr>
        <w:t>הערה</w:t>
      </w:r>
    </w:p>
  </w:footnote>
  <w:footnote w:id="4">
    <w:p w14:paraId="58425FFB" w14:textId="77777777" w:rsidR="00125C51" w:rsidRPr="00C7671A" w:rsidRDefault="00125C51" w:rsidP="00125C51">
      <w:pPr>
        <w:pStyle w:val="FootnoteText"/>
        <w:rPr>
          <w:sz w:val="16"/>
          <w:szCs w:val="16"/>
          <w:lang w:bidi="he-IL"/>
        </w:rPr>
      </w:pPr>
      <w:r w:rsidRPr="00C7671A">
        <w:rPr>
          <w:rStyle w:val="FootnoteReference"/>
          <w:sz w:val="16"/>
          <w:szCs w:val="16"/>
        </w:rPr>
        <w:footnoteRef/>
      </w:r>
      <w:r w:rsidRPr="00C7671A">
        <w:rPr>
          <w:sz w:val="16"/>
          <w:szCs w:val="16"/>
        </w:rPr>
        <w:t xml:space="preserve"> </w:t>
      </w:r>
      <w:r w:rsidRPr="00C7671A">
        <w:rPr>
          <w:sz w:val="16"/>
          <w:szCs w:val="16"/>
          <w:lang w:bidi="he-IL"/>
        </w:rPr>
        <w:t xml:space="preserve">See below </w:t>
      </w:r>
    </w:p>
  </w:footnote>
  <w:footnote w:id="5">
    <w:p w14:paraId="388A5A0E" w14:textId="41BF3270" w:rsidR="006F7B38" w:rsidRPr="00ED1B78" w:rsidRDefault="006F7B38">
      <w:pPr>
        <w:pStyle w:val="FootnoteText"/>
        <w:rPr>
          <w:sz w:val="16"/>
          <w:szCs w:val="16"/>
          <w:lang w:bidi="he-IL"/>
        </w:rPr>
      </w:pPr>
      <w:r w:rsidRPr="00ED1B78">
        <w:rPr>
          <w:rStyle w:val="FootnoteReference"/>
          <w:sz w:val="16"/>
          <w:szCs w:val="16"/>
        </w:rPr>
        <w:footnoteRef/>
      </w:r>
      <w:r w:rsidRPr="00ED1B78">
        <w:rPr>
          <w:sz w:val="16"/>
          <w:szCs w:val="16"/>
        </w:rPr>
        <w:t xml:space="preserve"> </w:t>
      </w:r>
      <w:r w:rsidRPr="00ED1B78">
        <w:rPr>
          <w:sz w:val="16"/>
          <w:szCs w:val="16"/>
          <w:lang w:bidi="he-IL"/>
        </w:rPr>
        <w:t>See below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67"/>
    <w:rsid w:val="000B1747"/>
    <w:rsid w:val="00125C51"/>
    <w:rsid w:val="00192781"/>
    <w:rsid w:val="00380A2F"/>
    <w:rsid w:val="006B3306"/>
    <w:rsid w:val="006F7B38"/>
    <w:rsid w:val="0073290D"/>
    <w:rsid w:val="007758F0"/>
    <w:rsid w:val="008510E5"/>
    <w:rsid w:val="008A1AE2"/>
    <w:rsid w:val="00910851"/>
    <w:rsid w:val="00A46F84"/>
    <w:rsid w:val="00A56BBE"/>
    <w:rsid w:val="00C82A67"/>
    <w:rsid w:val="00D01B67"/>
    <w:rsid w:val="00ED1B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59C6"/>
  <w15:chartTrackingRefBased/>
  <w15:docId w15:val="{8ACEA91B-5EA2-4362-8F15-7F37F24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08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851"/>
    <w:rPr>
      <w:sz w:val="20"/>
      <w:szCs w:val="20"/>
    </w:rPr>
  </w:style>
  <w:style w:type="character" w:styleId="FootnoteReference">
    <w:name w:val="footnote reference"/>
    <w:basedOn w:val="DefaultParagraphFont"/>
    <w:uiPriority w:val="99"/>
    <w:semiHidden/>
    <w:unhideWhenUsed/>
    <w:rsid w:val="00910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1870D-7DF1-49ED-A17C-7429E6CC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2022-07-05T18:12:00Z</dcterms:created>
  <dcterms:modified xsi:type="dcterms:W3CDTF">2022-07-05T19:06:00Z</dcterms:modified>
</cp:coreProperties>
</file>