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52" w:rsidRDefault="00B35444" w:rsidP="00F8400C">
      <w:pPr>
        <w:pStyle w:val="Heading1"/>
        <w:rPr>
          <w:i/>
          <w:iCs/>
        </w:rPr>
      </w:pPr>
      <w:r>
        <w:t xml:space="preserve">The Requirements for </w:t>
      </w:r>
      <w:proofErr w:type="spellStart"/>
      <w:r>
        <w:rPr>
          <w:i/>
          <w:iCs/>
        </w:rPr>
        <w:t>Malkut</w:t>
      </w:r>
      <w:proofErr w:type="spellEnd"/>
    </w:p>
    <w:p w:rsidR="00B35444" w:rsidRDefault="00B35444" w:rsidP="00B35444"/>
    <w:p w:rsidR="00B35444" w:rsidRDefault="00B35444" w:rsidP="00F8400C">
      <w:pPr>
        <w:pStyle w:val="Heading1"/>
      </w:pPr>
      <w:r>
        <w:t xml:space="preserve">I. </w:t>
      </w:r>
      <w:r>
        <w:rPr>
          <w:rFonts w:hint="cs"/>
          <w:rtl/>
        </w:rPr>
        <w:t>בדיקה</w:t>
      </w:r>
    </w:p>
    <w:p w:rsidR="00B35444" w:rsidRDefault="000D2DB8" w:rsidP="00E57ED9">
      <w:pPr>
        <w:pStyle w:val="Heading2"/>
        <w:bidi/>
        <w:rPr>
          <w:rFonts w:hint="cs"/>
          <w:rtl/>
        </w:rPr>
      </w:pPr>
      <w:r>
        <w:rPr>
          <w:rFonts w:hint="cs"/>
          <w:rtl/>
        </w:rPr>
        <w:t xml:space="preserve">1. </w:t>
      </w:r>
      <w:r w:rsidR="00E57ED9">
        <w:rPr>
          <w:rFonts w:hint="cs"/>
          <w:rtl/>
        </w:rPr>
        <w:t>בבלי סנהדרין דף ס"ט.</w:t>
      </w:r>
    </w:p>
    <w:p w:rsidR="00E57ED9" w:rsidRDefault="00E57ED9" w:rsidP="00E57ED9">
      <w:pPr>
        <w:bidi/>
        <w:rPr>
          <w:rFonts w:cs="Arial"/>
          <w:rtl/>
        </w:rPr>
      </w:pPr>
      <w:r w:rsidRPr="00E57ED9">
        <w:rPr>
          <w:rFonts w:cs="Arial"/>
          <w:rtl/>
        </w:rPr>
        <w:t>גופא, אמר רבי כרוספדאי אמר רבי שבתי: כל ימיו של בן סורר ומורה אינן אלא שלשה חדשים בלבד. - והאנן תנן: משיביא שתי שערות ועד שיקיף זקן! - הקיף זקן - אף על גב דלא מלו שלשה חדשים, מלו שלשה חדשים - אף על גב דלא הקיף.</w:t>
      </w:r>
    </w:p>
    <w:p w:rsidR="00E57ED9" w:rsidRDefault="00E57ED9" w:rsidP="00E57ED9">
      <w:pPr>
        <w:bidi/>
        <w:rPr>
          <w:rFonts w:cs="Arial"/>
          <w:rtl/>
        </w:rPr>
      </w:pPr>
    </w:p>
    <w:p w:rsidR="00E57ED9" w:rsidRDefault="000D2DB8" w:rsidP="00E57ED9">
      <w:pPr>
        <w:pStyle w:val="Heading2"/>
        <w:bidi/>
        <w:rPr>
          <w:rtl/>
        </w:rPr>
      </w:pPr>
      <w:r>
        <w:rPr>
          <w:rFonts w:hint="cs"/>
          <w:rtl/>
        </w:rPr>
        <w:t xml:space="preserve">2. </w:t>
      </w:r>
      <w:r w:rsidR="00E57ED9">
        <w:rPr>
          <w:rFonts w:hint="cs"/>
          <w:rtl/>
        </w:rPr>
        <w:t>בבלי שם דף ס"ח:</w:t>
      </w:r>
    </w:p>
    <w:p w:rsidR="00E57ED9" w:rsidRDefault="00E57ED9" w:rsidP="00E57ED9">
      <w:pPr>
        <w:bidi/>
        <w:jc w:val="both"/>
        <w:rPr>
          <w:rtl/>
        </w:rPr>
      </w:pPr>
      <w:r w:rsidRPr="00E57ED9">
        <w:rPr>
          <w:rFonts w:cs="Arial"/>
          <w:rtl/>
        </w:rPr>
        <w:t xml:space="preserve">גמרא. קטן מנלן דפטור? - מנלן? - כדקתני טעמא: שלא בא לכלל מצות! ותו: היכא אשכחן דענש הכתוב, דהכא ליבעי קרא למיפטריה? - אנן הכי קאמרינן: אטו בן סורר ומורה על חטאו נהרג? על שם סופו נהרג, וכיון דעל שם סופו נהרג - אפילו קטן נמי. </w:t>
      </w:r>
      <w:r w:rsidRPr="00E57ED9">
        <w:rPr>
          <w:rFonts w:cs="Arial"/>
          <w:u w:val="single"/>
          <w:rtl/>
        </w:rPr>
        <w:t>ועוד: בן ולא איש - קטן משמע. אמר רב יהודה אמר רב: דאמר קרא וכי יהיה לאיש בן - בן הסמוך לגבורתו של איש.</w:t>
      </w:r>
      <w:r w:rsidRPr="00E57ED9">
        <w:rPr>
          <w:rFonts w:cs="Arial"/>
          <w:rtl/>
        </w:rPr>
        <w:t xml:space="preserve"> ועד שיקיף זקן התחתון כו'. תני רבי חייא: עד שיקיף עטרה. כי אתא רב דימי אמר: הקפת גיד, ולא הקפת ביצים</w:t>
      </w:r>
      <w:r w:rsidRPr="00E57ED9">
        <w:t xml:space="preserve">. </w:t>
      </w:r>
    </w:p>
    <w:p w:rsidR="00E57ED9" w:rsidRDefault="00E57ED9" w:rsidP="00E57ED9">
      <w:pPr>
        <w:bidi/>
        <w:jc w:val="both"/>
        <w:rPr>
          <w:rtl/>
        </w:rPr>
      </w:pPr>
    </w:p>
    <w:p w:rsidR="00E57ED9" w:rsidRDefault="000D2DB8" w:rsidP="00E57ED9">
      <w:pPr>
        <w:pStyle w:val="Heading2"/>
        <w:bidi/>
        <w:rPr>
          <w:rtl/>
        </w:rPr>
      </w:pPr>
      <w:r>
        <w:rPr>
          <w:rFonts w:hint="cs"/>
          <w:rtl/>
        </w:rPr>
        <w:t xml:space="preserve">3. </w:t>
      </w:r>
      <w:r w:rsidR="00E57ED9">
        <w:rPr>
          <w:rFonts w:hint="cs"/>
          <w:rtl/>
        </w:rPr>
        <w:t>רמב"ם ממרים פרק ז'</w:t>
      </w:r>
    </w:p>
    <w:p w:rsidR="00E57ED9" w:rsidRDefault="00E57ED9" w:rsidP="00E57ED9">
      <w:pPr>
        <w:bidi/>
      </w:pPr>
      <w:r>
        <w:rPr>
          <w:rFonts w:cs="Arial"/>
          <w:rtl/>
        </w:rPr>
        <w:t>הלכה ה</w:t>
      </w:r>
    </w:p>
    <w:p w:rsidR="00E57ED9" w:rsidRDefault="00E57ED9" w:rsidP="00A115CC">
      <w:pPr>
        <w:bidi/>
        <w:jc w:val="both"/>
      </w:pPr>
      <w:r>
        <w:rPr>
          <w:rFonts w:cs="Arial"/>
          <w:rtl/>
        </w:rPr>
        <w:t xml:space="preserve">לא ענש הכתוב קטן שלא בא לכלל המצות, וכן איש שגדל והרי הוא ברשות עצמו </w:t>
      </w:r>
      <w:r w:rsidRPr="00EB4663">
        <w:rPr>
          <w:rFonts w:cs="Arial"/>
          <w:u w:val="single"/>
          <w:rtl/>
        </w:rPr>
        <w:t>אינו נסקל</w:t>
      </w:r>
      <w:r>
        <w:rPr>
          <w:rFonts w:cs="Arial"/>
          <w:rtl/>
        </w:rPr>
        <w:t xml:space="preserve"> מפני שגנב ואכל ושתה אכילה זו המכוערת, הא כיצד מפי השמועה למדו שאין דין זה אלא בבן שלש עשרה שנה ויום אחד שהביא שתי שערות עד שיקיף כל הגיד ואחר שיקיף השיער כל הגיד הרי הוא ברשות עצמו </w:t>
      </w:r>
      <w:r w:rsidRPr="00EB4663">
        <w:rPr>
          <w:rFonts w:cs="Arial"/>
          <w:u w:val="single"/>
          <w:rtl/>
        </w:rPr>
        <w:t>ואינו נסקל</w:t>
      </w:r>
      <w:r>
        <w:rPr>
          <w:rFonts w:cs="Arial"/>
          <w:rtl/>
        </w:rPr>
        <w:t xml:space="preserve">. </w:t>
      </w:r>
    </w:p>
    <w:p w:rsidR="00E57ED9" w:rsidRDefault="00E57ED9" w:rsidP="00E57ED9">
      <w:pPr>
        <w:bidi/>
      </w:pPr>
      <w:r>
        <w:rPr>
          <w:rFonts w:cs="Arial"/>
          <w:rtl/>
        </w:rPr>
        <w:t>הלכה ו</w:t>
      </w:r>
    </w:p>
    <w:p w:rsidR="00E57ED9" w:rsidRDefault="00E57ED9" w:rsidP="00A115CC">
      <w:pPr>
        <w:bidi/>
        <w:jc w:val="both"/>
      </w:pPr>
      <w:r>
        <w:rPr>
          <w:rFonts w:cs="Arial"/>
          <w:rtl/>
        </w:rPr>
        <w:t xml:space="preserve">כל ימיו של בן סורר ומורה אינן אלא שלשה חדשים מאחר שיביא שתי שערות, לפי שאפשר שתתעבר אשתו ויהיה עוברה ניכר בשלשה חדשים ונאמר כי יהיה לאיש בן סורר ומורה ולא אב סורר ומורה הא למדת שאם הקיף השיער את כל הגיד קודם שישלים שלשה חדשים הרי זה פטור. </w:t>
      </w:r>
    </w:p>
    <w:p w:rsidR="00E57ED9" w:rsidRDefault="00E57ED9" w:rsidP="00E57ED9">
      <w:pPr>
        <w:bidi/>
      </w:pPr>
      <w:r>
        <w:rPr>
          <w:rFonts w:cs="Arial"/>
          <w:rtl/>
        </w:rPr>
        <w:t>הלכה ז</w:t>
      </w:r>
    </w:p>
    <w:p w:rsidR="00E57ED9" w:rsidRDefault="00E57ED9" w:rsidP="00A115CC">
      <w:pPr>
        <w:bidi/>
        <w:jc w:val="both"/>
        <w:rPr>
          <w:rFonts w:cs="Arial"/>
          <w:rtl/>
        </w:rPr>
      </w:pPr>
      <w:r>
        <w:rPr>
          <w:rFonts w:cs="Arial"/>
          <w:rtl/>
        </w:rPr>
        <w:t xml:space="preserve">כיצד דנין בן סורר ומורה מביאין אותו אביו ואמו תחילה לבית דין של שלשה ואומרין להן בננו זה סורר ומורה, ומביאין שני עדים שגנב משל אביו וקנה בשר ויין במה שגנב ואכל אותה אכילה האמורה אחר ההתראה, וזו היא עדות הראשונה </w:t>
      </w:r>
      <w:r w:rsidRPr="00F8400C">
        <w:rPr>
          <w:rFonts w:cs="Arial"/>
          <w:u w:val="single"/>
          <w:rtl/>
        </w:rPr>
        <w:t>ומלקין אותו כשאר חייבי מלקות</w:t>
      </w:r>
      <w:r>
        <w:rPr>
          <w:rFonts w:cs="Arial"/>
          <w:rtl/>
        </w:rPr>
        <w:t xml:space="preserve">, שנאמר ויסרו אותו ולא ישמע אליהם, חזר וגנב משל אביו ואכל אכילה זו, אביו ואמו מביאין אותו לבית דין של שלשה ועשרים ומביאין שני עדים ומעידין עליו שגנב ואכל אכילה זו האמורה אחר שהתרו בו, וזו היא עדות אחרונה אפילו היו השנים הראשונים הם האחרונים, </w:t>
      </w:r>
      <w:r w:rsidRPr="00A115CC">
        <w:rPr>
          <w:rFonts w:cs="Arial"/>
          <w:u w:val="single"/>
          <w:rtl/>
        </w:rPr>
        <w:t>ואחר שמקבלין עדותן בודקין אותו שמא הקיף השער את כל הגיד, אם לא הקיף ולא שלמו לו שלשה חדשים גומרין דינו כדרך כל הרוגי בית דין וסוקלין אותו</w:t>
      </w:r>
      <w:r>
        <w:rPr>
          <w:rFonts w:cs="Arial"/>
          <w:rtl/>
        </w:rPr>
        <w:t>, ואינו נסקל עד שיהו שם שלשה הראשונים שנאמר בננו זה זהו שלקה בפניכם.</w:t>
      </w:r>
    </w:p>
    <w:p w:rsidR="00A115CC" w:rsidRDefault="00A115CC" w:rsidP="00A115CC">
      <w:pPr>
        <w:bidi/>
        <w:jc w:val="both"/>
        <w:rPr>
          <w:rFonts w:cs="Arial"/>
          <w:rtl/>
        </w:rPr>
      </w:pPr>
    </w:p>
    <w:p w:rsidR="00A115CC" w:rsidRDefault="000D2DB8" w:rsidP="00A115CC">
      <w:pPr>
        <w:pStyle w:val="Heading2"/>
        <w:bidi/>
        <w:rPr>
          <w:rtl/>
        </w:rPr>
      </w:pPr>
      <w:r>
        <w:rPr>
          <w:rFonts w:hint="cs"/>
          <w:rtl/>
        </w:rPr>
        <w:t xml:space="preserve">4. </w:t>
      </w:r>
      <w:r w:rsidR="00A115CC">
        <w:rPr>
          <w:rFonts w:hint="cs"/>
          <w:rtl/>
        </w:rPr>
        <w:t>כסף משנה שם</w:t>
      </w:r>
    </w:p>
    <w:p w:rsidR="00A115CC" w:rsidRPr="00A115CC" w:rsidRDefault="00A115CC" w:rsidP="00A115CC">
      <w:pPr>
        <w:bidi/>
        <w:jc w:val="both"/>
        <w:rPr>
          <w:rtl/>
        </w:rPr>
      </w:pPr>
      <w:r w:rsidRPr="00A115CC">
        <w:rPr>
          <w:rFonts w:cs="Arial"/>
          <w:rtl/>
        </w:rPr>
        <w:t>צ"ע במה שלא הצריך לבדוק אם הקיף זקן אלא בעת שרוצים לגמור דינו למיתה למה לא הצריך לבדקו קודם שילקוהו שאם הוא גדול כיון דאינו נעשה בן סורר ומורה בר מלקות הוא:</w:t>
      </w:r>
    </w:p>
    <w:p w:rsidR="00A115CC" w:rsidRDefault="00A115CC" w:rsidP="00A115CC">
      <w:pPr>
        <w:bidi/>
        <w:jc w:val="both"/>
        <w:rPr>
          <w:rFonts w:cs="Arial"/>
          <w:rtl/>
        </w:rPr>
      </w:pPr>
    </w:p>
    <w:p w:rsidR="00A115CC" w:rsidRDefault="000D2DB8" w:rsidP="00A115CC">
      <w:pPr>
        <w:pStyle w:val="Heading2"/>
        <w:bidi/>
        <w:rPr>
          <w:rFonts w:hint="cs"/>
          <w:rtl/>
        </w:rPr>
      </w:pPr>
      <w:r>
        <w:rPr>
          <w:rFonts w:hint="cs"/>
          <w:rtl/>
        </w:rPr>
        <w:lastRenderedPageBreak/>
        <w:t xml:space="preserve">5. </w:t>
      </w:r>
      <w:r w:rsidR="00A115CC">
        <w:rPr>
          <w:rFonts w:hint="cs"/>
          <w:rtl/>
        </w:rPr>
        <w:t>חידושי רבינו חיים הלוי שם</w:t>
      </w:r>
    </w:p>
    <w:p w:rsidR="004D01D5" w:rsidRDefault="004D01D5" w:rsidP="004D01D5">
      <w:pPr>
        <w:bidi/>
        <w:jc w:val="both"/>
        <w:rPr>
          <w:rFonts w:cs="Arial"/>
          <w:rtl/>
        </w:rPr>
      </w:pPr>
      <w:r w:rsidRPr="004D01D5">
        <w:rPr>
          <w:rFonts w:cs="Arial"/>
          <w:rtl/>
        </w:rPr>
        <w:t>ולפי זה נראה לומר בדעת הרמב"ם, דחלוק דין מלקות מדין מיתה בהך דאשתני דינו, ומשום דכל הנך דינים הנאמרים בבן סורר ומורה, שלא יהא איש ולא אב ועוד הרבה פרטים דבחסר אחד מהם אינו נעשה בן סורר ומורה, עיקרן לענין חיוב מיתה הוא דנאמרו, דעיקר חיובה הוא מדין בן סורר ומורה, ותליא בשם בן סורר ומורה, ועלה קיימי כל הנך דינים, דאי לאו הכי לית ביה שם בן סורר ומורה, אבל חיוב המלקות י"ל דאין זה כלל מדין בן סורר ומורה, ורק משום דעבר על הלאו דלא תאכלו על הדם, והוי ככל חייבי לאוין דעלמא שלוקין, אבל אין זה תלוי בעיקר שם בן סורר ומורה שלו, וממ</w:t>
      </w:r>
      <w:r>
        <w:rPr>
          <w:rFonts w:cs="Arial"/>
          <w:rtl/>
        </w:rPr>
        <w:t>ילא דלא קאי עלייהו כל הנך דינים</w:t>
      </w:r>
      <w:r>
        <w:rPr>
          <w:rFonts w:cs="Arial" w:hint="cs"/>
          <w:rtl/>
        </w:rPr>
        <w:t>.</w:t>
      </w:r>
    </w:p>
    <w:p w:rsidR="00A115CC" w:rsidRPr="00A115CC" w:rsidRDefault="004D01D5" w:rsidP="004D01D5">
      <w:pPr>
        <w:bidi/>
        <w:jc w:val="both"/>
        <w:rPr>
          <w:rFonts w:hint="cs"/>
          <w:rtl/>
        </w:rPr>
      </w:pPr>
      <w:r w:rsidRPr="004D01D5">
        <w:rPr>
          <w:rFonts w:cs="Arial"/>
          <w:rtl/>
        </w:rPr>
        <w:t>ונהי דבחסר מהנך פרטי הרי ממילא דלית ביה גם מלקות, ומשום דכל הלאו הרי נאמר שלא יהא בן סורר ומורה הראוי למות ולהסקל, אבל מ"מ עיקר חיוב המלקות לא נאמרו בה כל הנך דיני, ורק דזה ממילא דאינו חייב מלקות רק היכא דעבר על אזהרה דלא תאכלו על הדם, דזה נאמר רק על בן סורר ומורה האמור בתורה בכל פרטיו. ולפ"ז י"ל, דדוקא בהחיוב מיתה הוא דאמרינן דאם הקיף זקן אח"כ ונעשה איש דאשתני דינו ומיפטר, ומשום דהוי דין האמור בעצם חיוב מיתה שלו, דאיש אינו בדין בן סורר ומורה החייב מיתה, משא"כ במלקות, דלא נאמר בה כלל שום דין אם יהא איש או קטן, א"כ ממילא דלא חשוב אשתני דינו בזה שנעשה עתה איש, דלענין דין אשתני דינו בעינן שיהא דין בעצם חיוב המלקות, אבל במאי דהוי רק גרמא בדין חיוב המלקות, לא שייך לדין אשתני דינו להפטר בזה</w:t>
      </w:r>
    </w:p>
    <w:p w:rsidR="00E57ED9" w:rsidRDefault="00E57ED9" w:rsidP="00E57ED9">
      <w:pPr>
        <w:bidi/>
        <w:rPr>
          <w:rtl/>
        </w:rPr>
      </w:pPr>
    </w:p>
    <w:p w:rsidR="00F8400C" w:rsidRDefault="00F8400C" w:rsidP="00F8400C">
      <w:pPr>
        <w:pStyle w:val="Heading1"/>
        <w:rPr>
          <w:rtl/>
        </w:rPr>
      </w:pPr>
      <w:r>
        <w:t xml:space="preserve">II. </w:t>
      </w:r>
      <w:r>
        <w:rPr>
          <w:rFonts w:hint="cs"/>
          <w:rtl/>
        </w:rPr>
        <w:t>אביו ואמו</w:t>
      </w:r>
    </w:p>
    <w:p w:rsidR="00F8400C" w:rsidRDefault="000D2DB8" w:rsidP="00F8400C">
      <w:pPr>
        <w:pStyle w:val="Heading2"/>
        <w:bidi/>
        <w:rPr>
          <w:rFonts w:hint="cs"/>
          <w:rtl/>
        </w:rPr>
      </w:pPr>
      <w:r>
        <w:rPr>
          <w:rFonts w:hint="cs"/>
          <w:rtl/>
        </w:rPr>
        <w:t xml:space="preserve">6. </w:t>
      </w:r>
      <w:r w:rsidR="00F8400C">
        <w:rPr>
          <w:rFonts w:hint="cs"/>
          <w:rtl/>
        </w:rPr>
        <w:t>בבלי סנהדרין דף ע"א.</w:t>
      </w:r>
    </w:p>
    <w:p w:rsidR="00F8400C" w:rsidRDefault="00F8400C" w:rsidP="00F8400C">
      <w:pPr>
        <w:bidi/>
        <w:rPr>
          <w:rFonts w:cs="Arial"/>
          <w:rtl/>
        </w:rPr>
      </w:pPr>
      <w:r w:rsidRPr="00F8400C">
        <w:rPr>
          <w:rFonts w:cs="Arial"/>
          <w:rtl/>
        </w:rPr>
        <w:t>משנה. היה אביו רוצה ואמו אינה רוצה, אביו אינו רוצה ואמו רוצה - אינו נעשה בן סורר ומורה עד שיהו שניהם רוצין. רבי יהודה אומר: אם לא היתה אמו ראויה לאביו - אינו נעשה בן סורר ומורה.</w:t>
      </w:r>
    </w:p>
    <w:p w:rsidR="00F8400C" w:rsidRDefault="00F8400C" w:rsidP="00F8400C">
      <w:pPr>
        <w:bidi/>
        <w:rPr>
          <w:rFonts w:cs="Arial" w:hint="cs"/>
          <w:rtl/>
        </w:rPr>
      </w:pPr>
      <w:r>
        <w:rPr>
          <w:rFonts w:cs="Arial" w:hint="cs"/>
          <w:rtl/>
        </w:rPr>
        <w:t>...</w:t>
      </w:r>
    </w:p>
    <w:p w:rsidR="00F8400C" w:rsidRDefault="00F8400C" w:rsidP="00F8400C">
      <w:pPr>
        <w:bidi/>
        <w:jc w:val="both"/>
        <w:rPr>
          <w:rFonts w:cs="Arial"/>
          <w:rtl/>
        </w:rPr>
      </w:pPr>
      <w:r w:rsidRPr="00F8400C">
        <w:rPr>
          <w:rFonts w:cs="Arial"/>
          <w:rtl/>
        </w:rPr>
        <w:t>משנה. היה אחד מהם גידם או חיגר או אלם או סומא או חרש - אינו נעשה בן סורר ומורה, שנאמר +דברים כ"א+ ותפשו בו אביו ואמו - ולא גדמין, והוציאו אתו - ולא חגרין, ואמרו - ולא אלמין, בננו זה - ולא סומין, איננו שמע בקלנו - ולא חרשין. מתרין בו בפני שלשה, ומלקין אותו. חזר וקלקל - נדון בעשרים ושלשה. ואינו נסקל עד שיהו שם שלשה הראשונים, שנאמר בננו זה זהו שלקה בפניכם.</w:t>
      </w:r>
    </w:p>
    <w:p w:rsidR="00F8400C" w:rsidRDefault="00F8400C" w:rsidP="00F8400C">
      <w:pPr>
        <w:bidi/>
        <w:jc w:val="both"/>
        <w:rPr>
          <w:rFonts w:cs="Arial"/>
          <w:rtl/>
        </w:rPr>
      </w:pPr>
    </w:p>
    <w:p w:rsidR="00F8400C" w:rsidRDefault="000D2DB8" w:rsidP="00F8400C">
      <w:pPr>
        <w:pStyle w:val="Heading2"/>
        <w:bidi/>
        <w:rPr>
          <w:rFonts w:hint="cs"/>
          <w:rtl/>
        </w:rPr>
      </w:pPr>
      <w:r>
        <w:rPr>
          <w:rFonts w:hint="cs"/>
          <w:rtl/>
        </w:rPr>
        <w:t xml:space="preserve">7. </w:t>
      </w:r>
      <w:r w:rsidR="00F8400C">
        <w:rPr>
          <w:rFonts w:hint="cs"/>
          <w:rtl/>
        </w:rPr>
        <w:t>רמב"ם ממרים ז:י</w:t>
      </w:r>
    </w:p>
    <w:p w:rsidR="00F8400C" w:rsidRDefault="00F8400C" w:rsidP="00F8400C">
      <w:pPr>
        <w:bidi/>
        <w:jc w:val="both"/>
        <w:rPr>
          <w:rFonts w:cs="Arial"/>
          <w:rtl/>
        </w:rPr>
      </w:pPr>
      <w:r w:rsidRPr="00F8400C">
        <w:rPr>
          <w:rFonts w:cs="Arial"/>
          <w:rtl/>
        </w:rPr>
        <w:t>היה אביו רוצה ואמו אינה רוצה אמו רוצה ואביו אינו רוצה אינו נעשה בן סורר ומורה שנאמר ותפשו בו אביו ואמו, היה אחד מהן גדם או חגר או אלם או סומא או חרש אינו נעשה בן סורר ומורה שנאמר ותפשו בו ולא גדמים, והוציאו אותו ולא חגרים, ואמרו ולא אלמים, בננו זה ולא סומים, איננו שומע בקולנו ולא חרשים.</w:t>
      </w:r>
    </w:p>
    <w:p w:rsidR="00F8400C" w:rsidRDefault="00F8400C" w:rsidP="00F8400C">
      <w:pPr>
        <w:bidi/>
        <w:jc w:val="both"/>
        <w:rPr>
          <w:rFonts w:cs="Arial"/>
          <w:rtl/>
        </w:rPr>
      </w:pPr>
    </w:p>
    <w:p w:rsidR="00F8400C" w:rsidRDefault="000D2DB8" w:rsidP="00F8400C">
      <w:pPr>
        <w:pStyle w:val="Heading2"/>
        <w:bidi/>
      </w:pPr>
      <w:r>
        <w:rPr>
          <w:rFonts w:hint="cs"/>
          <w:rtl/>
        </w:rPr>
        <w:t xml:space="preserve">8. </w:t>
      </w:r>
      <w:r w:rsidR="00F8400C">
        <w:rPr>
          <w:rFonts w:hint="cs"/>
          <w:rtl/>
        </w:rPr>
        <w:t>אור שמח שם</w:t>
      </w:r>
    </w:p>
    <w:p w:rsidR="000D2DB8" w:rsidRDefault="000D2DB8" w:rsidP="000D2DB8">
      <w:pPr>
        <w:bidi/>
        <w:jc w:val="both"/>
      </w:pPr>
      <w:r>
        <w:rPr>
          <w:rFonts w:cs="Arial"/>
          <w:rtl/>
        </w:rPr>
        <w:t>נראה מדברי רבינו דאינו נעשה כלל בן סו"מ, ואף למלקות אינו לוקה, אף על גב דותפשו בו אביו ואמו במיתה כתיב, בכ"ז כיון דאזהרה דבן סו"מ גם למלקות הוי רק מקרא דלא תאכלו על הדם (סנהדרין ס"ג ע"א), דגם מלקות אין עונשין אלא א"כ מזהירין, כמו שביאר רמב"ן בספר המצות בלאוין סימן קצ"ה. ואזהרה דלא תאכלו על הדם פירש רבינו אכילה המביאה לידי שפיכות דמים, וכיון דאחד מהן גידם תו איננה אכילה המביאה לידי שפיכת דמים, ותו ליכא אזהרה, ואינו לוקה, ופשוט:</w:t>
      </w:r>
    </w:p>
    <w:p w:rsidR="000D2DB8" w:rsidRDefault="000D2DB8" w:rsidP="000D2DB8">
      <w:pPr>
        <w:bidi/>
        <w:rPr>
          <w:rFonts w:cs="Arial" w:hint="cs"/>
          <w:rtl/>
        </w:rPr>
      </w:pPr>
      <w:r>
        <w:rPr>
          <w:rFonts w:cs="Arial"/>
          <w:rtl/>
        </w:rPr>
        <w:t>ולפי זה נראה לנו דגם לאחר החורבן בזמן התנאים דהיו סמוכין, ולמלקות מלקין בכל זמן</w:t>
      </w:r>
      <w:r>
        <w:rPr>
          <w:rFonts w:cs="Arial" w:hint="cs"/>
          <w:rtl/>
        </w:rPr>
        <w:t>...</w:t>
      </w:r>
    </w:p>
    <w:p w:rsidR="000D2DB8" w:rsidRDefault="000D2DB8" w:rsidP="000D2DB8">
      <w:pPr>
        <w:bidi/>
        <w:rPr>
          <w:rFonts w:cs="Arial"/>
          <w:rtl/>
        </w:rPr>
      </w:pPr>
    </w:p>
    <w:p w:rsidR="000D2DB8" w:rsidRDefault="000D2DB8" w:rsidP="000D2DB8">
      <w:pPr>
        <w:pStyle w:val="Heading2"/>
        <w:bidi/>
        <w:rPr>
          <w:rFonts w:hint="cs"/>
          <w:rtl/>
        </w:rPr>
      </w:pPr>
      <w:r>
        <w:rPr>
          <w:rFonts w:hint="cs"/>
          <w:rtl/>
        </w:rPr>
        <w:t>9. יד רמ"ה סנעדרין דף ע"א.</w:t>
      </w:r>
    </w:p>
    <w:p w:rsidR="000D2DB8" w:rsidRDefault="000D2DB8" w:rsidP="000D2DB8">
      <w:pPr>
        <w:bidi/>
        <w:jc w:val="both"/>
        <w:rPr>
          <w:rFonts w:cs="Arial"/>
          <w:rtl/>
        </w:rPr>
      </w:pPr>
      <w:r w:rsidRPr="000D2DB8">
        <w:rPr>
          <w:rFonts w:cs="Arial"/>
          <w:rtl/>
        </w:rPr>
        <w:t xml:space="preserve">מתני' היה אחד מהן גידם כו' שנאמר ותפשו בו ולא גדמין שאין להם ידים לתפוש והוציאו אותו ולא חגרין שאף עצמן אין יכולים להוציא אלא על ידי הדחק ואמרו ולא אלמין בננו זה משמע דחזו ליה ולא סומין דלא חזו ליה איננו שומע בקולנו פריש לה רבינו שלמה ז"ל פירושא דחיקא דלא מסתבר כלל ולדידן מסתברא לפרושה הכי מאחר ששניהם אומרים איננו שומע בקולנו משמע ששניהם אומרים שאינו שומע בקול שניהם דהא בקולנו בקול שנינו משמע ולא משכחת לה אלא בזמן שהאב יודע בתוכחתה של אם והאם בשל אב ואי הוי חד מינייהו חרש מנא ידע. </w:t>
      </w:r>
      <w:r w:rsidRPr="000D2DB8">
        <w:rPr>
          <w:rFonts w:cs="Arial"/>
          <w:u w:val="single"/>
          <w:rtl/>
        </w:rPr>
        <w:t>מתרין בו בפני שלשה ומלקין אותו</w:t>
      </w:r>
      <w:r w:rsidRPr="000D2DB8">
        <w:rPr>
          <w:rFonts w:cs="Arial"/>
          <w:rtl/>
        </w:rPr>
        <w:t xml:space="preserve"> מפרש לה בגמרא מתרין בו בפני שנים ומלקין אותו בפני שלשה ולאו הכא קאי דהא האי קרא דותפשו בו ואמרו בקטלא כתיב אלא בעלמא קאי בן סורר ומורה כיצד נעשה בן סורר ומורה גנב משל אביו ואכל כמו שאמרנו מתרין בו בפני שנים שלא יעשה ואם עשה מלקין אותו בפני שלשה והיינו דכתיב ויסרו אותו חזר וקלקל והיינו דכתיב ולא ישמע אליהם נידון בעשרים ושלשה והיינו דכתיב והוציאו אותו אל זקני עירו כו'.</w:t>
      </w:r>
    </w:p>
    <w:p w:rsidR="000D2DB8" w:rsidRDefault="000D2DB8" w:rsidP="000D2DB8">
      <w:pPr>
        <w:bidi/>
        <w:jc w:val="both"/>
        <w:rPr>
          <w:rFonts w:cs="Arial"/>
          <w:rtl/>
        </w:rPr>
      </w:pPr>
    </w:p>
    <w:p w:rsidR="000D2DB8" w:rsidRDefault="000D2DB8" w:rsidP="000D2DB8">
      <w:pPr>
        <w:pStyle w:val="Heading1"/>
        <w:rPr>
          <w:rtl/>
        </w:rPr>
      </w:pPr>
      <w:r>
        <w:t xml:space="preserve">III. </w:t>
      </w:r>
      <w:r>
        <w:rPr>
          <w:rFonts w:hint="cs"/>
          <w:rtl/>
        </w:rPr>
        <w:t>כ"ג זקנים</w:t>
      </w:r>
    </w:p>
    <w:p w:rsidR="000D2DB8" w:rsidRDefault="00BC327C" w:rsidP="00BC327C">
      <w:pPr>
        <w:pStyle w:val="Heading2"/>
        <w:bidi/>
        <w:rPr>
          <w:rFonts w:hint="cs"/>
          <w:rtl/>
        </w:rPr>
      </w:pPr>
      <w:r>
        <w:rPr>
          <w:rFonts w:hint="cs"/>
          <w:rtl/>
        </w:rPr>
        <w:t>10. מנחת חינוך רמ"ח סקכ"ז</w:t>
      </w:r>
    </w:p>
    <w:p w:rsidR="00BC327C" w:rsidRDefault="00C732FB" w:rsidP="00BC327C">
      <w:pPr>
        <w:bidi/>
        <w:rPr>
          <w:rFonts w:cs="Arial" w:hint="cs"/>
          <w:rtl/>
        </w:rPr>
      </w:pPr>
      <w:r w:rsidRPr="00C732FB">
        <w:rPr>
          <w:rFonts w:cs="Arial"/>
          <w:rtl/>
        </w:rPr>
        <w:t>וע' מ"ל פ"ז הקשה על הר"מ שהשמיט מ"ש בש"ס דמכות דעיר שאין בה זקנים אין נעשה סו"מ</w:t>
      </w:r>
      <w:r>
        <w:rPr>
          <w:rFonts w:cs="Arial" w:hint="cs"/>
          <w:rtl/>
        </w:rPr>
        <w:t>..</w:t>
      </w:r>
    </w:p>
    <w:p w:rsidR="00C732FB" w:rsidRPr="00BC327C" w:rsidRDefault="00C732FB" w:rsidP="00C732FB">
      <w:pPr>
        <w:bidi/>
        <w:jc w:val="both"/>
        <w:rPr>
          <w:rFonts w:hint="cs"/>
          <w:rtl/>
        </w:rPr>
      </w:pPr>
      <w:r w:rsidRPr="00C732FB">
        <w:rPr>
          <w:rFonts w:cs="Arial"/>
          <w:rtl/>
        </w:rPr>
        <w:t>ולפ"ז אני מסופק אי ד"ז נוהג גבי אכילה לענין מלקו' דבעינן עיר שיש בה זקנים דהא זקני עירו אצל סקילה כתיב ומסתברא דגם אכיל' ראשונה למלקות בעינן זקני דלכל הדברים שוים דדינים אלו ולא גדמין ולא חרשין גם כן מפקינן מקרא והוציאו אותו ומ"מ נוהג גבי מלקות ג"כ דאל"ה הי' מתבאר החילוק בש"ס ור"מ אע"כ לכל הדינים שוים וא"כ לד"ז נמי שוים. אך לדעתי דגבי מלקות ג' זקנים בעינן כיון דא"צ אלא ג' לדון אותו די בג' זקנים כנ"ל:</w:t>
      </w:r>
    </w:p>
    <w:sectPr w:rsidR="00C732FB" w:rsidRPr="00BC32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D8" w:rsidRDefault="00776ED8" w:rsidP="005975AF">
      <w:pPr>
        <w:spacing w:after="0" w:line="240" w:lineRule="auto"/>
      </w:pPr>
      <w:r>
        <w:separator/>
      </w:r>
    </w:p>
  </w:endnote>
  <w:endnote w:type="continuationSeparator" w:id="0">
    <w:p w:rsidR="00776ED8" w:rsidRDefault="00776ED8" w:rsidP="005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AF" w:rsidRDefault="0059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AF" w:rsidRDefault="00597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AF" w:rsidRDefault="0059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D8" w:rsidRDefault="00776ED8" w:rsidP="005975AF">
      <w:pPr>
        <w:spacing w:after="0" w:line="240" w:lineRule="auto"/>
      </w:pPr>
      <w:r>
        <w:separator/>
      </w:r>
    </w:p>
  </w:footnote>
  <w:footnote w:type="continuationSeparator" w:id="0">
    <w:p w:rsidR="00776ED8" w:rsidRDefault="00776ED8" w:rsidP="0059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AF" w:rsidRDefault="00597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AF" w:rsidRPr="005975AF" w:rsidRDefault="005975AF" w:rsidP="005975AF">
    <w:pPr>
      <w:pStyle w:val="Header"/>
      <w:bidi/>
      <w:rPr>
        <w:rFonts w:asciiTheme="majorBidi" w:hAnsiTheme="majorBidi" w:cstheme="majorBidi"/>
        <w:rtl/>
      </w:rPr>
    </w:pPr>
    <w:r w:rsidRPr="005975AF">
      <w:rPr>
        <w:rFonts w:asciiTheme="majorBidi" w:hAnsiTheme="majorBidi" w:cstheme="majorBidi"/>
        <w:rtl/>
      </w:rPr>
      <w:t>בס"ד</w:t>
    </w:r>
    <w:bookmarkStart w:id="0" w:name="_GoBack"/>
    <w:bookmarkEnd w:id="0"/>
  </w:p>
  <w:p w:rsidR="005975AF" w:rsidRDefault="00597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AF" w:rsidRDefault="00597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44"/>
    <w:rsid w:val="000D2DB8"/>
    <w:rsid w:val="002A7F52"/>
    <w:rsid w:val="004D01D5"/>
    <w:rsid w:val="005975AF"/>
    <w:rsid w:val="00776ED8"/>
    <w:rsid w:val="00A115CC"/>
    <w:rsid w:val="00AD04C8"/>
    <w:rsid w:val="00B35444"/>
    <w:rsid w:val="00BC327C"/>
    <w:rsid w:val="00C732FB"/>
    <w:rsid w:val="00E57ED9"/>
    <w:rsid w:val="00EB4663"/>
    <w:rsid w:val="00F840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AA3B9-CF34-4CE5-885D-29C7CC8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8400C"/>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00C"/>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59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AF"/>
  </w:style>
  <w:style w:type="paragraph" w:styleId="Footer">
    <w:name w:val="footer"/>
    <w:basedOn w:val="Normal"/>
    <w:link w:val="FooterChar"/>
    <w:uiPriority w:val="99"/>
    <w:unhideWhenUsed/>
    <w:rsid w:val="0059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3</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The Requirements for Malkut</vt:lpstr>
      <vt:lpstr>I. בדיקה</vt:lpstr>
      <vt:lpstr>    1. בבלי סנהדרין דף ס"ט.</vt:lpstr>
      <vt:lpstr>    2. בבלי שם דף ס"ח:</vt:lpstr>
      <vt:lpstr>    3. רמב"ם ממרים פרק ז'</vt:lpstr>
      <vt:lpstr>    4. כסף משנה שם</vt:lpstr>
      <vt:lpstr>    5. חידושי רבינו חיים הלוי שם</vt:lpstr>
      <vt:lpstr>II. אביו ואמו</vt:lpstr>
      <vt:lpstr>    6. בבלי סנהדרין דף ע"א.</vt:lpstr>
      <vt:lpstr>    7. רמב"ם ממרים ז:י</vt:lpstr>
      <vt:lpstr>    8. אור שמח שם</vt:lpstr>
      <vt:lpstr>    9. יד רמ"ה סנעדרין דף ע"א.</vt:lpstr>
      <vt:lpstr>III. כ"ג זקנים</vt:lpstr>
      <vt:lpstr>    10. מנחת חינוך רמ"ח סקכ"ז</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3</cp:revision>
  <dcterms:created xsi:type="dcterms:W3CDTF">2018-01-25T02:17:00Z</dcterms:created>
  <dcterms:modified xsi:type="dcterms:W3CDTF">2018-01-25T23:53:00Z</dcterms:modified>
</cp:coreProperties>
</file>