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F52" w:rsidRDefault="00A03576" w:rsidP="00A03576">
      <w:pPr>
        <w:pStyle w:val="Heading1"/>
      </w:pPr>
      <w:r>
        <w:rPr>
          <w:rFonts w:hint="cs"/>
          <w:rtl/>
        </w:rPr>
        <w:t>בן סורר ומורה #2</w:t>
      </w:r>
    </w:p>
    <w:p w:rsidR="00A03576" w:rsidRDefault="00A03576" w:rsidP="00A03576">
      <w:pPr>
        <w:pStyle w:val="Heading2"/>
        <w:jc w:val="center"/>
      </w:pPr>
      <w:r>
        <w:t xml:space="preserve">Nature of the </w:t>
      </w:r>
      <w:r>
        <w:rPr>
          <w:rFonts w:hint="cs"/>
          <w:rtl/>
        </w:rPr>
        <w:t>איסור</w:t>
      </w:r>
    </w:p>
    <w:p w:rsidR="00A03576" w:rsidRDefault="00A03576" w:rsidP="00A03576">
      <w:pPr>
        <w:pStyle w:val="Heading2"/>
        <w:bidi/>
        <w:rPr>
          <w:rFonts w:hint="cs"/>
          <w:rtl/>
        </w:rPr>
      </w:pPr>
      <w:r>
        <w:rPr>
          <w:rFonts w:hint="cs"/>
          <w:rtl/>
        </w:rPr>
        <w:t>1. בבלי סנהדרין דף ס"ג.</w:t>
      </w:r>
    </w:p>
    <w:p w:rsidR="00A03576" w:rsidRDefault="00A03576" w:rsidP="0071669B">
      <w:pPr>
        <w:bidi/>
        <w:jc w:val="both"/>
        <w:rPr>
          <w:rFonts w:cs="Arial"/>
          <w:rtl/>
        </w:rPr>
      </w:pPr>
      <w:r w:rsidRPr="00A03576">
        <w:rPr>
          <w:rFonts w:cs="Arial"/>
          <w:rtl/>
        </w:rPr>
        <w:t>דתניא: מנין לאוכל מן הבהמה קודם שתצא נפשה שהוא בלא תעשה תלמוד לומר - +ויקרא י"ט+ לא תאכלו על הדם. דבר אחר: לא תאכלו על הדם - לא תאכלו בשר ועדין דם במזרק. רבי דוסא אומר: מניין שאין מברין על הרוגי בית דין - תלמוד לומר לא תאכלו על הדם. רבי עקיבא אומר: מנין לסנהדרין שהרגו את הנפש שאין טועמין כלום כל אותו היום</w:t>
      </w:r>
      <w:r w:rsidR="0071669B">
        <w:rPr>
          <w:rFonts w:cs="Arial"/>
          <w:rtl/>
        </w:rPr>
        <w:t xml:space="preserve"> - תלמוד לומר לא תאכלו על הדם.</w:t>
      </w:r>
      <w:r w:rsidR="0071669B">
        <w:rPr>
          <w:rFonts w:cs="Arial"/>
        </w:rPr>
        <w:t xml:space="preserve"> </w:t>
      </w:r>
      <w:r w:rsidR="0071669B">
        <w:rPr>
          <w:rFonts w:cs="Arial"/>
          <w:rtl/>
        </w:rPr>
        <w:t>ר' יוחנן אומר</w:t>
      </w:r>
      <w:r w:rsidRPr="00A03576">
        <w:rPr>
          <w:rFonts w:cs="Arial"/>
          <w:rtl/>
        </w:rPr>
        <w:t>: אזהרה לבן סורר ומורה מנין - תלמוד לומר לא תאכלו על הדם.</w:t>
      </w:r>
    </w:p>
    <w:p w:rsidR="00A03576" w:rsidRDefault="00A03576" w:rsidP="00A03576">
      <w:pPr>
        <w:bidi/>
        <w:jc w:val="both"/>
        <w:rPr>
          <w:rFonts w:cs="Arial"/>
          <w:rtl/>
        </w:rPr>
      </w:pPr>
    </w:p>
    <w:p w:rsidR="00A03576" w:rsidRDefault="00A03576" w:rsidP="00A03576">
      <w:pPr>
        <w:pStyle w:val="Heading2"/>
        <w:bidi/>
        <w:rPr>
          <w:rFonts w:hint="cs"/>
          <w:rtl/>
        </w:rPr>
      </w:pPr>
      <w:r>
        <w:rPr>
          <w:rFonts w:hint="cs"/>
          <w:rtl/>
        </w:rPr>
        <w:t>2. רמב"ם לא תעשה קצ"ה</w:t>
      </w:r>
    </w:p>
    <w:p w:rsidR="0071669B" w:rsidRDefault="00A03576" w:rsidP="00A03576">
      <w:pPr>
        <w:bidi/>
        <w:jc w:val="both"/>
        <w:rPr>
          <w:rFonts w:cs="Arial"/>
        </w:rPr>
      </w:pPr>
      <w:r w:rsidRPr="00A03576">
        <w:rPr>
          <w:rFonts w:cs="Arial"/>
          <w:rtl/>
        </w:rPr>
        <w:t xml:space="preserve">והמצוה הקצ"ה היא שהזהירנו מהיות זולל וסובא במאכל ובמשתה בימי הנערות ובתנאים המתוארים בבן סורר ומורה. והוא אמרו יתעלה (קדושים יט) לא תאכלו על הדם. ובאור זה שבן סורר ומורה מכלל מחוייבי מיתות בית דין ובא לשון התורה (ר"פ תצא) בו בסקילה וכבר בארנו בהקדמות זה המאמר (עמ' ר) שכל מה שחייב בו הכתוב כרת או מיתת בית דין הוא מצות לא תעשה זולת הפסח והמילה כמו שבארנו. </w:t>
      </w:r>
    </w:p>
    <w:p w:rsidR="00A03576" w:rsidRDefault="00A03576" w:rsidP="0071669B">
      <w:pPr>
        <w:bidi/>
        <w:jc w:val="both"/>
        <w:rPr>
          <w:rFonts w:cs="Arial"/>
          <w:rtl/>
        </w:rPr>
      </w:pPr>
      <w:r w:rsidRPr="00A03576">
        <w:rPr>
          <w:rFonts w:cs="Arial"/>
          <w:rtl/>
        </w:rPr>
        <w:t xml:space="preserve">אם כן אחר שדין זולל וסובא על התנאים הנזכרים בסקילה ידענו שהמעשה הזה מוזהר ממנו בהכרח ונתבאר העונש ונשאר שנחקור על האזהרה לפי שרשנו (שם וש"נ) לא ענש הכתוב אלא אם כן הזהיר. ולשון גמר סנהדרין (סג א) אזהרה לבן סורר ומורה מנין תלמוד לומר לא תאכלו על הדם. רוצה לומר לא תאכל אכילה שהיא מביאה לשפוך דם והיא אכילת זולל וסובא שהוא חייב עליה מיתה. וכשאכל האכילה ההיא הרעה על הדרכים ההם אשר לא טובים כבר עבר על לאו </w:t>
      </w:r>
      <w:r w:rsidRPr="0071669B">
        <w:rPr>
          <w:rFonts w:cs="Arial"/>
          <w:u w:val="single"/>
          <w:rtl/>
        </w:rPr>
        <w:t>ואעפ"י</w:t>
      </w:r>
      <w:r w:rsidRPr="00A03576">
        <w:rPr>
          <w:rFonts w:cs="Arial"/>
          <w:rtl/>
        </w:rPr>
        <w:t xml:space="preserve"> שזה הלאו הוא לאו שבכללות כמו שבארנו בשרש התשיעי (עמ' רסד - ו). כי זה אינו רחוק. שאחר שהעונש מפורש אין לחוש על האזהרה אם היא מן הדין או מלאו שבכללות. וכבר התבאר זה פעמים והקדמנו ממנו משלים (עמ' רב ול"ת כו וש"נ). וכבר התבארו דיני מצוה זו בפרק שמיני מסנהדרין:</w:t>
      </w:r>
    </w:p>
    <w:p w:rsidR="00A03576" w:rsidRDefault="00A03576" w:rsidP="00A03576">
      <w:pPr>
        <w:bidi/>
        <w:jc w:val="both"/>
        <w:rPr>
          <w:rFonts w:cs="Arial"/>
          <w:rtl/>
        </w:rPr>
      </w:pPr>
    </w:p>
    <w:p w:rsidR="00A03576" w:rsidRDefault="00A03576" w:rsidP="00A03576">
      <w:pPr>
        <w:pStyle w:val="Heading2"/>
        <w:bidi/>
        <w:rPr>
          <w:rFonts w:hint="cs"/>
          <w:rtl/>
        </w:rPr>
      </w:pPr>
      <w:r>
        <w:rPr>
          <w:rFonts w:hint="cs"/>
          <w:rtl/>
        </w:rPr>
        <w:t>3. רמב"ן שם</w:t>
      </w:r>
    </w:p>
    <w:p w:rsidR="00A03576" w:rsidRDefault="00A03576" w:rsidP="0071669B">
      <w:pPr>
        <w:bidi/>
        <w:jc w:val="both"/>
        <w:rPr>
          <w:rFonts w:cs="Arial" w:hint="cs"/>
          <w:rtl/>
        </w:rPr>
      </w:pPr>
      <w:r w:rsidRPr="00A03576">
        <w:rPr>
          <w:rFonts w:cs="Arial"/>
          <w:rtl/>
        </w:rPr>
        <w:t>וכבר כתבתי בעיקר השני (עמ' עב) שההקדמה שהקדים נשברת ונפסדת, וגם בזה עוד הפסד לפי שאכילה ראשונה שלבן סורר ומורה אין עונשה מיתה אלא מלקות כמו שאמרו (סנה' עא א) מתרין בו בפני שנים ומלקין אותו בפני שלשה חזר ונתקלקל נדון בעשרים ושלשה.</w:t>
      </w:r>
      <w:r w:rsidR="0071669B">
        <w:rPr>
          <w:rFonts w:cs="Arial" w:hint="cs"/>
          <w:rtl/>
        </w:rPr>
        <w:t>..</w:t>
      </w:r>
      <w:bookmarkStart w:id="0" w:name="_GoBack"/>
      <w:bookmarkEnd w:id="0"/>
    </w:p>
    <w:p w:rsidR="004A7903" w:rsidRDefault="004A7903" w:rsidP="004A7903">
      <w:pPr>
        <w:bidi/>
        <w:jc w:val="both"/>
        <w:rPr>
          <w:rFonts w:cs="Arial"/>
          <w:rtl/>
        </w:rPr>
      </w:pPr>
    </w:p>
    <w:p w:rsidR="00A53309" w:rsidRDefault="00E41A6A" w:rsidP="00A53309">
      <w:pPr>
        <w:pStyle w:val="Heading2"/>
        <w:bidi/>
        <w:rPr>
          <w:rFonts w:hint="cs"/>
          <w:rtl/>
        </w:rPr>
      </w:pPr>
      <w:r>
        <w:rPr>
          <w:rFonts w:hint="cs"/>
          <w:rtl/>
        </w:rPr>
        <w:t xml:space="preserve">4. </w:t>
      </w:r>
      <w:r w:rsidR="00A53309">
        <w:rPr>
          <w:rFonts w:hint="cs"/>
          <w:rtl/>
        </w:rPr>
        <w:t>רמב"ם אישות א:ב</w:t>
      </w:r>
    </w:p>
    <w:p w:rsidR="00A53309" w:rsidRDefault="00A53309" w:rsidP="00A53309">
      <w:pPr>
        <w:bidi/>
        <w:jc w:val="both"/>
        <w:rPr>
          <w:rFonts w:cs="Arial"/>
          <w:rtl/>
        </w:rPr>
      </w:pPr>
      <w:r>
        <w:rPr>
          <w:rFonts w:cs="Arial"/>
          <w:rtl/>
        </w:rPr>
        <w:t>וליקוחין אלו מצות עשה של תורה הם, ובאחד משלשה דברים האשה נקנית, בכסף או בשטר או בביאה, בביאה ובשטר מן התורה ובכסף מדברי סופרים, וליקוחין אלו הן הנקר</w:t>
      </w:r>
      <w:r>
        <w:rPr>
          <w:rFonts w:cs="Arial"/>
          <w:rtl/>
        </w:rPr>
        <w:t>אין קידושין או אירוסין בכל מקום</w:t>
      </w:r>
      <w:r>
        <w:rPr>
          <w:rFonts w:cs="Arial" w:hint="cs"/>
          <w:rtl/>
        </w:rPr>
        <w:t>...</w:t>
      </w:r>
    </w:p>
    <w:p w:rsidR="00A53309" w:rsidRDefault="00A53309" w:rsidP="00A53309">
      <w:pPr>
        <w:bidi/>
        <w:jc w:val="both"/>
        <w:rPr>
          <w:rFonts w:cs="Arial"/>
          <w:rtl/>
        </w:rPr>
      </w:pPr>
    </w:p>
    <w:p w:rsidR="00A53309" w:rsidRDefault="00E41A6A" w:rsidP="00A53309">
      <w:pPr>
        <w:pStyle w:val="Heading2"/>
        <w:bidi/>
        <w:rPr>
          <w:rFonts w:hint="cs"/>
          <w:rtl/>
        </w:rPr>
      </w:pPr>
      <w:r>
        <w:rPr>
          <w:rFonts w:hint="cs"/>
          <w:rtl/>
        </w:rPr>
        <w:t xml:space="preserve">5. </w:t>
      </w:r>
      <w:r w:rsidR="00A53309">
        <w:rPr>
          <w:rFonts w:hint="cs"/>
          <w:rtl/>
        </w:rPr>
        <w:t>שו"ת רמב"ם סימן שנ"ה</w:t>
      </w:r>
    </w:p>
    <w:p w:rsidR="00A53309" w:rsidRPr="00A53309" w:rsidRDefault="00A53309" w:rsidP="00A53309">
      <w:pPr>
        <w:bidi/>
        <w:jc w:val="both"/>
        <w:rPr>
          <w:rtl/>
        </w:rPr>
      </w:pPr>
      <w:r w:rsidRPr="00A53309">
        <w:rPr>
          <w:rFonts w:cs="Arial"/>
          <w:rtl/>
        </w:rPr>
        <w:t>וכן יש לשאל בודאי ולומר לי הבעילה ודאי מן התורה שהרי לא למדוה במדה משלש עשרה מדות אלא ובעלה מלמד שנקנית בביאה אלא הכסף והשטר בהקש למדו אותן למה אמרת שהשטר מן התורה והכסף מדבריהם. והתשובה על זה שודאי כך הייתי אומר שהכסף והשטר מדבריהם הואיל ומן הדין באו לולי הא דאמרינן בהדיא +קידושין ט' ב'+ בענין נערה מאורסה דאמרינן נערה מאורסה דאמר רחמנא בסקילה היכי משכחת לה פי' מדאמר קרא נערה בתולה מאורסה שמע מינה בודאי שיש מאורסה מן התורה בלא ביאה ובמה. ושקלו וטרו וסוף המימרא אמר רב נחמן ביר' יצחק משכחת לה כגון שקידשה בשטר הואיל וגמר ומוציא גומר ומכניס שמע מינה שלדברי הכל השטר גומר ומכניס</w:t>
      </w:r>
    </w:p>
    <w:p w:rsidR="00A53309" w:rsidRDefault="00A53309" w:rsidP="00A53309">
      <w:pPr>
        <w:bidi/>
        <w:jc w:val="both"/>
        <w:rPr>
          <w:rFonts w:cs="Arial"/>
          <w:rtl/>
        </w:rPr>
      </w:pPr>
    </w:p>
    <w:p w:rsidR="00A53309" w:rsidRDefault="00E41A6A" w:rsidP="00A53309">
      <w:pPr>
        <w:pStyle w:val="Heading2"/>
        <w:bidi/>
        <w:rPr>
          <w:rFonts w:hint="cs"/>
          <w:rtl/>
        </w:rPr>
      </w:pPr>
      <w:r>
        <w:rPr>
          <w:rFonts w:hint="cs"/>
          <w:rtl/>
        </w:rPr>
        <w:t xml:space="preserve">6. </w:t>
      </w:r>
      <w:r w:rsidR="00A53309">
        <w:rPr>
          <w:rFonts w:hint="cs"/>
          <w:rtl/>
        </w:rPr>
        <w:t>דברים פרק כ"ב</w:t>
      </w:r>
    </w:p>
    <w:p w:rsidR="00A53309" w:rsidRDefault="00A53309" w:rsidP="00A53309">
      <w:pPr>
        <w:bidi/>
      </w:pPr>
      <w:r>
        <w:rPr>
          <w:rFonts w:cs="Arial"/>
          <w:rtl/>
        </w:rPr>
        <w:t>(כג) כִּי יִהְיֶה נַעֲרָ בְתוּלָה מְאֹרָשָׂה לְאִישׁ וּמְצָאָהּ אִישׁ בָּעִיר וְשָׁכַב עִמָּהּ:</w:t>
      </w:r>
    </w:p>
    <w:p w:rsidR="00A53309" w:rsidRPr="00A53309" w:rsidRDefault="00A53309" w:rsidP="00A53309">
      <w:pPr>
        <w:bidi/>
        <w:rPr>
          <w:rtl/>
        </w:rPr>
      </w:pPr>
      <w:r>
        <w:rPr>
          <w:rFonts w:cs="Arial"/>
          <w:rtl/>
        </w:rPr>
        <w:t>(כד) וְהוֹצֵאתֶם אֶת שְׁנֵיהֶם אֶל שַׁעַר הָעִיר הַהִוא וּסְקַלְתֶּם אֹתָם בָּאֲבָנִים וָמֵתוּ אֶת הַנַּעֲרָ עַל דְּבַר אֲשֶׁר לֹא צָעֲקָה בָעִיר וְאֶת הָאִישׁ עַל דְּבַר אֲשֶׁר עִנָּה אֶת אֵשֶׁת רֵעֵהוּ וּבִעַרְתָּ הָרָע מִקִּרְבֶּךָ:</w:t>
      </w:r>
    </w:p>
    <w:p w:rsidR="004A7903" w:rsidRDefault="004A7903" w:rsidP="004A7903">
      <w:pPr>
        <w:bidi/>
        <w:jc w:val="both"/>
        <w:rPr>
          <w:rFonts w:cs="Arial"/>
          <w:rtl/>
        </w:rPr>
      </w:pPr>
    </w:p>
    <w:p w:rsidR="00A03576" w:rsidRDefault="00E41A6A" w:rsidP="00A03576">
      <w:pPr>
        <w:pStyle w:val="Heading2"/>
        <w:bidi/>
        <w:rPr>
          <w:rFonts w:hint="cs"/>
          <w:rtl/>
        </w:rPr>
      </w:pPr>
      <w:r>
        <w:rPr>
          <w:rFonts w:hint="cs"/>
          <w:rtl/>
        </w:rPr>
        <w:t>7</w:t>
      </w:r>
      <w:r w:rsidR="00A03576">
        <w:rPr>
          <w:rFonts w:hint="cs"/>
          <w:rtl/>
        </w:rPr>
        <w:t>. רמב"ן דברים כ"א:י"ח</w:t>
      </w:r>
    </w:p>
    <w:p w:rsidR="00A03576" w:rsidRDefault="00A03576" w:rsidP="00A03576">
      <w:pPr>
        <w:bidi/>
        <w:jc w:val="both"/>
        <w:rPr>
          <w:rFonts w:cs="Arial" w:hint="cs"/>
          <w:rtl/>
        </w:rPr>
      </w:pPr>
      <w:r w:rsidRPr="00A03576">
        <w:rPr>
          <w:rFonts w:cs="Arial"/>
          <w:rtl/>
        </w:rPr>
        <w:t>הנה יש עליו שני עונשין, האחד שהוא מקלה אביו ואמו וממרה בהם, והשני שהוא זולל וסובא עובר על מה שנצטוינו (ויקרא יט ב) קדושים תהיו. ונאמר עוד (לעיל יג ה) ואותו תעבודו ובו תדבקון, כאשר פירשתי (לעיל ו יג) שנצטווינו לדעת השם בכל דרכינו, וזולל וסובא לא ידע דרך ה'.</w:t>
      </w:r>
      <w:r>
        <w:rPr>
          <w:rFonts w:cs="Arial" w:hint="cs"/>
          <w:rtl/>
        </w:rPr>
        <w:t>..</w:t>
      </w:r>
    </w:p>
    <w:p w:rsidR="00A03576" w:rsidRDefault="00A03576" w:rsidP="00A53309">
      <w:pPr>
        <w:bidi/>
        <w:jc w:val="both"/>
        <w:rPr>
          <w:rFonts w:cs="Arial"/>
          <w:rtl/>
        </w:rPr>
      </w:pPr>
      <w:r w:rsidRPr="00A03576">
        <w:rPr>
          <w:rFonts w:cs="Arial"/>
          <w:rtl/>
        </w:rPr>
        <w:t>וגם זו מצוה מחודשת. או מבוארת מן כבד את אביך ואת אמך (שמות כ יב) ואיש אמו ואביו תיראו (ויקרא יט ג):</w:t>
      </w:r>
    </w:p>
    <w:p w:rsidR="00A03576" w:rsidRDefault="00A03576" w:rsidP="00A03576">
      <w:pPr>
        <w:bidi/>
        <w:jc w:val="both"/>
        <w:rPr>
          <w:rFonts w:cs="Arial"/>
          <w:rtl/>
        </w:rPr>
      </w:pPr>
    </w:p>
    <w:p w:rsidR="00A03576" w:rsidRDefault="00E41A6A" w:rsidP="00A03576">
      <w:pPr>
        <w:pStyle w:val="Heading2"/>
        <w:bidi/>
        <w:rPr>
          <w:rtl/>
        </w:rPr>
      </w:pPr>
      <w:r>
        <w:rPr>
          <w:rFonts w:hint="cs"/>
          <w:rtl/>
        </w:rPr>
        <w:t>8</w:t>
      </w:r>
      <w:r w:rsidR="00A03576">
        <w:rPr>
          <w:rFonts w:hint="cs"/>
          <w:rtl/>
        </w:rPr>
        <w:t>. ספר יראים סי' רע"ה</w:t>
      </w:r>
    </w:p>
    <w:p w:rsidR="00A03576" w:rsidRDefault="00A03576" w:rsidP="00A03576">
      <w:pPr>
        <w:bidi/>
        <w:jc w:val="both"/>
        <w:rPr>
          <w:rFonts w:cs="Arial"/>
          <w:rtl/>
        </w:rPr>
      </w:pPr>
      <w:r w:rsidRPr="00A03576">
        <w:rPr>
          <w:rFonts w:cs="Arial"/>
          <w:rtl/>
        </w:rPr>
        <w:t>בן סורר ומורה. צוה הבורא שלא לילך אדם בחוקות הגוים לרדוף אחרי שרירות לבבו להיות זולל וסובא דכתיב בפרשת קדושים תהיו [ויקרא כ' כ"ג] ולא תלכו בחוקות הגוי וחוקות הגוים זוללים וסובאים ומכאן למדנו אזהרה לבן סורר ומורה למה הוצרכנו ללמוד מלקות דידיה ממקום אחר לפי שאזהרה זו לאו שבכללות ואין לוקין עליו. אי נמי יש לומר אזהרה לבן סורר ומורה נפקא מגזירה שוה שלמדנו מלקות ויסרו מויסרו ויסרו מבן בן מבן והיה אם בין הכות הרשע וההוא ענינא מוקמינן בעדים זוממים במכות פ"א [ב' ב'] ואזהרה לעדים זוממים למדנו במכות פ"א [ד"ד ב'] מולא יוסיפו וגו'.</w:t>
      </w:r>
      <w:r>
        <w:rPr>
          <w:rFonts w:cs="Arial" w:hint="cs"/>
          <w:rtl/>
        </w:rPr>
        <w:t>..</w:t>
      </w:r>
    </w:p>
    <w:p w:rsidR="00A03576" w:rsidRDefault="00A03576" w:rsidP="00A03576">
      <w:pPr>
        <w:bidi/>
        <w:jc w:val="both"/>
        <w:rPr>
          <w:rFonts w:cs="Arial"/>
          <w:rtl/>
        </w:rPr>
      </w:pPr>
    </w:p>
    <w:p w:rsidR="00A03576" w:rsidRDefault="00E41A6A" w:rsidP="00A03576">
      <w:pPr>
        <w:pStyle w:val="Heading2"/>
        <w:bidi/>
        <w:rPr>
          <w:rFonts w:hint="cs"/>
          <w:rtl/>
        </w:rPr>
      </w:pPr>
      <w:r>
        <w:rPr>
          <w:rFonts w:hint="cs"/>
          <w:rtl/>
        </w:rPr>
        <w:t>9</w:t>
      </w:r>
      <w:r w:rsidR="00A03576">
        <w:rPr>
          <w:rFonts w:hint="cs"/>
          <w:rtl/>
        </w:rPr>
        <w:t>. רמב"ם ממרים ז:א-ב</w:t>
      </w:r>
    </w:p>
    <w:p w:rsidR="00A03576" w:rsidRPr="00E41A6A" w:rsidRDefault="00A03576" w:rsidP="00E41A6A">
      <w:pPr>
        <w:bidi/>
        <w:rPr>
          <w:rtl/>
        </w:rPr>
      </w:pPr>
      <w:r w:rsidRPr="00E41A6A">
        <w:rPr>
          <w:rFonts w:cs="Arial"/>
          <w:u w:val="single"/>
          <w:rtl/>
        </w:rPr>
        <w:t>הלכה א</w:t>
      </w:r>
      <w:r w:rsidR="00E41A6A">
        <w:rPr>
          <w:rFonts w:hint="cs"/>
          <w:rtl/>
        </w:rPr>
        <w:t xml:space="preserve"> </w:t>
      </w:r>
      <w:r>
        <w:rPr>
          <w:rFonts w:cs="Arial"/>
          <w:rtl/>
        </w:rPr>
        <w:t xml:space="preserve">בן סורר ומורה האמור בתורה הרי נתפרשה בו סקילה ולא ענש הכתוב אלא אם כן הזהיר, והיכן הזהיר לא תאכלו על הדם לא תאכל אכילה המביאה לידי שפיכות דמים וזו אכילת בן סורר ומורה שאינו נהרג אלא על אכילה מכוערת שאכל, שנאמר זולל וסובא מפי השמועה למדו שזולל הוא </w:t>
      </w:r>
      <w:r w:rsidRPr="00A03576">
        <w:rPr>
          <w:rFonts w:cs="Arial"/>
          <w:u w:val="single"/>
          <w:rtl/>
        </w:rPr>
        <w:t>האוכל בשר ברעבתנות וסובא השותה יין ברעבתנות.</w:t>
      </w:r>
    </w:p>
    <w:p w:rsidR="00A03576" w:rsidRPr="00A53309" w:rsidRDefault="00A03576" w:rsidP="00A53309">
      <w:pPr>
        <w:bidi/>
        <w:jc w:val="both"/>
        <w:rPr>
          <w:rFonts w:hint="cs"/>
          <w:rtl/>
        </w:rPr>
      </w:pPr>
      <w:r w:rsidRPr="00A53309">
        <w:rPr>
          <w:rFonts w:cs="Arial"/>
          <w:u w:val="single"/>
          <w:rtl/>
        </w:rPr>
        <w:t>הלכה ב</w:t>
      </w:r>
      <w:r w:rsidR="00A53309">
        <w:rPr>
          <w:rFonts w:hint="cs"/>
          <w:rtl/>
        </w:rPr>
        <w:t xml:space="preserve"> </w:t>
      </w:r>
      <w:r>
        <w:rPr>
          <w:rFonts w:cs="Arial"/>
          <w:rtl/>
        </w:rPr>
        <w:t>אכילה זו שהוא חייב עליה דברים הרבה יש בהם והן כולן הלכה מפי הקבלה, אינו חייב סקילה עד שיגנוב משל אביו ויקנה בשר בזול ויין בזול, ויאכל וישתה חוץ מרשות אביו בחבורה שכולן ריקנין ופחותין, ויאכל הבשר חי ואינו חי מבושל ואינו מבושל כדרך שהגנבים אוכלים וישתה היין מזוג כדרך שהגרגרנים שותים, והוא שיאכל משקל חמשים דינרין מבשר זה במלוגמא אחת וישתה חצי לוג מיין זה בבת אחת</w:t>
      </w:r>
      <w:r>
        <w:rPr>
          <w:rFonts w:cs="Arial" w:hint="cs"/>
          <w:rtl/>
        </w:rPr>
        <w:t>...</w:t>
      </w:r>
    </w:p>
    <w:p w:rsidR="00A03576" w:rsidRDefault="00A03576" w:rsidP="00A03576">
      <w:pPr>
        <w:bidi/>
        <w:jc w:val="both"/>
        <w:rPr>
          <w:rFonts w:cs="Arial"/>
          <w:rtl/>
        </w:rPr>
      </w:pPr>
    </w:p>
    <w:p w:rsidR="004A7903" w:rsidRDefault="00E41A6A" w:rsidP="004A7903">
      <w:pPr>
        <w:pStyle w:val="Heading2"/>
        <w:bidi/>
        <w:rPr>
          <w:rFonts w:hint="cs"/>
          <w:rtl/>
        </w:rPr>
      </w:pPr>
      <w:r>
        <w:rPr>
          <w:rFonts w:hint="cs"/>
          <w:rtl/>
        </w:rPr>
        <w:t xml:space="preserve">10. </w:t>
      </w:r>
      <w:r w:rsidR="004A7903">
        <w:rPr>
          <w:rFonts w:hint="cs"/>
          <w:rtl/>
        </w:rPr>
        <w:t>כסף משנה שם</w:t>
      </w:r>
    </w:p>
    <w:p w:rsidR="004A7903" w:rsidRPr="00E41A6A" w:rsidRDefault="004A7903" w:rsidP="00E41A6A">
      <w:pPr>
        <w:bidi/>
        <w:rPr>
          <w:rFonts w:cs="Arial"/>
          <w:rtl/>
        </w:rPr>
      </w:pPr>
      <w:r w:rsidRPr="004A7903">
        <w:rPr>
          <w:rFonts w:cs="Arial"/>
          <w:rtl/>
        </w:rPr>
        <w:t>ומשמע ליה לרבינו דעד שיאכל תרטימר בשר היינו במלוגמא אחת וישתה חצי לוג יין היינו בבת אחת:</w:t>
      </w:r>
    </w:p>
    <w:p w:rsidR="00A03576" w:rsidRDefault="00E41A6A" w:rsidP="004A7903">
      <w:pPr>
        <w:pStyle w:val="Heading2"/>
        <w:bidi/>
        <w:rPr>
          <w:rFonts w:hint="cs"/>
          <w:rtl/>
        </w:rPr>
      </w:pPr>
      <w:r>
        <w:rPr>
          <w:rFonts w:hint="cs"/>
          <w:rtl/>
        </w:rPr>
        <w:t xml:space="preserve">11. </w:t>
      </w:r>
      <w:r w:rsidR="004A7903">
        <w:rPr>
          <w:rFonts w:hint="cs"/>
          <w:rtl/>
        </w:rPr>
        <w:t>רדב"ז שם</w:t>
      </w:r>
    </w:p>
    <w:p w:rsidR="00A03576" w:rsidRPr="00A03576" w:rsidRDefault="004A7903" w:rsidP="00E41A6A">
      <w:pPr>
        <w:bidi/>
      </w:pPr>
      <w:r w:rsidRPr="004A7903">
        <w:rPr>
          <w:rFonts w:cs="Arial"/>
          <w:rtl/>
        </w:rPr>
        <w:t>ומה שכתב רבינו במלוגמא אחת וכו' לא מצאתי מפורש אבל נראה שהוא בכלל זולל וסובא שאם אכל ושתה מעט מעט כן דרך העולם וזהו מה שכתב לעיל האוכל בשר ברעבתנות וכו'</w:t>
      </w:r>
      <w:r w:rsidR="00E41A6A">
        <w:rPr>
          <w:rFonts w:cs="Arial" w:hint="cs"/>
          <w:rtl/>
        </w:rPr>
        <w:t>...</w:t>
      </w:r>
    </w:p>
    <w:sectPr w:rsidR="00A03576" w:rsidRPr="00A03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76"/>
    <w:rsid w:val="002A7F52"/>
    <w:rsid w:val="004A7903"/>
    <w:rsid w:val="0071669B"/>
    <w:rsid w:val="00A03576"/>
    <w:rsid w:val="00A53309"/>
    <w:rsid w:val="00AD04C8"/>
    <w:rsid w:val="00E41A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F524A-76E1-4481-AF72-0B95C34C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AD04C8"/>
    <w:pPr>
      <w:keepNext/>
      <w:keepLines/>
      <w:spacing w:before="240" w:after="0"/>
      <w:jc w:val="center"/>
      <w:outlineLvl w:val="0"/>
    </w:pPr>
    <w:rPr>
      <w:rFonts w:ascii="Times New Roman" w:eastAsia="Times New Roman" w:hAnsi="Times New Roman" w:cs="Times New Roman"/>
      <w:b/>
      <w:bCs/>
      <w:sz w:val="28"/>
      <w:szCs w:val="28"/>
      <w:u w:val="single"/>
    </w:rPr>
  </w:style>
  <w:style w:type="paragraph" w:styleId="Heading2">
    <w:name w:val="heading 2"/>
    <w:basedOn w:val="Normal"/>
    <w:next w:val="Normal"/>
    <w:link w:val="Heading2Char"/>
    <w:uiPriority w:val="9"/>
    <w:unhideWhenUsed/>
    <w:qFormat/>
    <w:rsid w:val="00AD04C8"/>
    <w:pPr>
      <w:keepNext/>
      <w:keepLines/>
      <w:spacing w:before="40" w:after="0"/>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4C8"/>
    <w:rPr>
      <w:rFonts w:ascii="Times New Roman" w:eastAsia="Times New Roman" w:hAnsi="Times New Roman" w:cs="Times New Roman"/>
      <w:b/>
      <w:bCs/>
      <w:sz w:val="28"/>
      <w:szCs w:val="28"/>
      <w:u w:val="single"/>
    </w:rPr>
  </w:style>
  <w:style w:type="character" w:customStyle="1" w:styleId="Heading2Char">
    <w:name w:val="Heading 2 Char"/>
    <w:basedOn w:val="DefaultParagraphFont"/>
    <w:link w:val="Heading2"/>
    <w:uiPriority w:val="9"/>
    <w:rsid w:val="00AD04C8"/>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719</Words>
  <Characters>4102</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בן סורר ומורה #2</vt:lpstr>
      <vt:lpstr>    Nature of the איסור</vt:lpstr>
      <vt:lpstr>    1. בבלי סנהדרין דף ס"ג.</vt:lpstr>
      <vt:lpstr>    2. רמב"ם לא תעשה קצ"ה</vt:lpstr>
      <vt:lpstr>    3. רמב"ן שם</vt:lpstr>
      <vt:lpstr>    רמב"ם אישות א:ב</vt:lpstr>
      <vt:lpstr>    שו"ת רמב"ם סימן שנ"ה</vt:lpstr>
      <vt:lpstr>    דברים פרק כ"ב</vt:lpstr>
      <vt:lpstr>    4. רמב"ן דברים כ"א:י"ח</vt:lpstr>
      <vt:lpstr>    5. ספר יראים סי' רע"ה</vt:lpstr>
      <vt:lpstr>    5. רמב"ם ממרים ז:א-ב</vt:lpstr>
      <vt:lpstr>    כסף משנה שם</vt:lpstr>
      <vt:lpstr>    רדב"ז שם</vt:lpstr>
    </vt:vector>
  </TitlesOfParts>
  <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Schrier</dc:creator>
  <cp:keywords/>
  <dc:description/>
  <cp:lastModifiedBy>Elliot Schrier</cp:lastModifiedBy>
  <cp:revision>2</cp:revision>
  <dcterms:created xsi:type="dcterms:W3CDTF">2017-12-07T22:13:00Z</dcterms:created>
  <dcterms:modified xsi:type="dcterms:W3CDTF">2017-12-07T23:50:00Z</dcterms:modified>
</cp:coreProperties>
</file>