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0E7AD" w14:textId="77777777" w:rsidR="00E95D40" w:rsidRPr="00496440" w:rsidRDefault="00E95D40" w:rsidP="00713C60">
      <w:pPr>
        <w:jc w:val="center"/>
        <w:rPr>
          <w:rFonts w:asciiTheme="majorBidi" w:hAnsiTheme="majorBidi" w:cstheme="majorBidi"/>
          <w:b/>
          <w:bCs/>
        </w:rPr>
      </w:pPr>
    </w:p>
    <w:p w14:paraId="1259FB47" w14:textId="18B54AA4" w:rsidR="00713C60" w:rsidRPr="00496440" w:rsidRDefault="00713C60" w:rsidP="00713C60">
      <w:pPr>
        <w:jc w:val="center"/>
        <w:rPr>
          <w:rFonts w:asciiTheme="majorBidi" w:hAnsiTheme="majorBidi" w:cstheme="majorBidi"/>
          <w:b/>
          <w:bCs/>
        </w:rPr>
      </w:pPr>
      <w:proofErr w:type="spellStart"/>
      <w:r w:rsidRPr="00496440">
        <w:rPr>
          <w:rFonts w:asciiTheme="majorBidi" w:hAnsiTheme="majorBidi" w:cstheme="majorBidi"/>
          <w:b/>
          <w:bCs/>
        </w:rPr>
        <w:t>Lifnei</w:t>
      </w:r>
      <w:proofErr w:type="spellEnd"/>
      <w:r w:rsidRPr="00496440">
        <w:rPr>
          <w:rFonts w:asciiTheme="majorBidi" w:hAnsiTheme="majorBidi" w:cstheme="majorBidi"/>
          <w:b/>
          <w:bCs/>
        </w:rPr>
        <w:t xml:space="preserve"> </w:t>
      </w:r>
      <w:proofErr w:type="spellStart"/>
      <w:r w:rsidRPr="00496440">
        <w:rPr>
          <w:rFonts w:asciiTheme="majorBidi" w:hAnsiTheme="majorBidi" w:cstheme="majorBidi"/>
          <w:b/>
          <w:bCs/>
        </w:rPr>
        <w:t>Iver</w:t>
      </w:r>
      <w:proofErr w:type="spellEnd"/>
      <w:r w:rsidRPr="00496440">
        <w:rPr>
          <w:rFonts w:asciiTheme="majorBidi" w:hAnsiTheme="majorBidi" w:cstheme="majorBidi"/>
          <w:b/>
          <w:bCs/>
        </w:rPr>
        <w:t>: The Relationship to the Prohibitions</w:t>
      </w:r>
      <w:r w:rsidR="0052497B" w:rsidRPr="00496440">
        <w:rPr>
          <w:rFonts w:asciiTheme="majorBidi" w:hAnsiTheme="majorBidi" w:cstheme="majorBidi"/>
          <w:b/>
          <w:bCs/>
        </w:rPr>
        <w:t xml:space="preserve"> Being Violated</w:t>
      </w:r>
    </w:p>
    <w:p w14:paraId="0D14C600" w14:textId="6CC04C92" w:rsidR="00713C60" w:rsidRPr="00496440" w:rsidRDefault="00713C60" w:rsidP="00713C60">
      <w:pPr>
        <w:pStyle w:val="ListParagraph"/>
        <w:numPr>
          <w:ilvl w:val="0"/>
          <w:numId w:val="2"/>
        </w:numPr>
        <w:rPr>
          <w:rFonts w:asciiTheme="majorBidi" w:hAnsiTheme="majorBidi" w:cstheme="majorBidi"/>
          <w:b/>
          <w:bCs/>
        </w:rPr>
      </w:pPr>
      <w:r w:rsidRPr="00496440">
        <w:rPr>
          <w:rFonts w:asciiTheme="majorBidi" w:hAnsiTheme="majorBidi" w:cstheme="majorBidi"/>
          <w:b/>
          <w:bCs/>
        </w:rPr>
        <w:t>Conceptual background</w:t>
      </w:r>
    </w:p>
    <w:p w14:paraId="28466497" w14:textId="4C0EB459" w:rsidR="00713C60" w:rsidRPr="00496440" w:rsidRDefault="00713C60" w:rsidP="00713C60">
      <w:pPr>
        <w:pStyle w:val="ListParagraph"/>
        <w:numPr>
          <w:ilvl w:val="1"/>
          <w:numId w:val="2"/>
        </w:numPr>
        <w:rPr>
          <w:rFonts w:asciiTheme="majorBidi" w:hAnsiTheme="majorBidi" w:cstheme="majorBidi"/>
        </w:rPr>
      </w:pPr>
      <w:r w:rsidRPr="00496440">
        <w:rPr>
          <w:rFonts w:asciiTheme="majorBidi" w:hAnsiTheme="majorBidi" w:cstheme="majorBidi"/>
        </w:rPr>
        <w:t xml:space="preserve">If one causes anyone to violate a prohibition, he violates </w:t>
      </w:r>
      <w:proofErr w:type="spellStart"/>
      <w:r w:rsidRPr="00496440">
        <w:rPr>
          <w:rFonts w:asciiTheme="majorBidi" w:hAnsiTheme="majorBidi" w:cstheme="majorBidi"/>
        </w:rPr>
        <w:t>Lifnei</w:t>
      </w:r>
      <w:proofErr w:type="spellEnd"/>
      <w:r w:rsidRPr="00496440">
        <w:rPr>
          <w:rFonts w:asciiTheme="majorBidi" w:hAnsiTheme="majorBidi" w:cstheme="majorBidi"/>
        </w:rPr>
        <w:t xml:space="preserve"> </w:t>
      </w:r>
      <w:proofErr w:type="spellStart"/>
      <w:r w:rsidRPr="00496440">
        <w:rPr>
          <w:rFonts w:asciiTheme="majorBidi" w:hAnsiTheme="majorBidi" w:cstheme="majorBidi"/>
        </w:rPr>
        <w:t>Iver</w:t>
      </w:r>
      <w:proofErr w:type="spellEnd"/>
      <w:r w:rsidRPr="00496440">
        <w:rPr>
          <w:rFonts w:asciiTheme="majorBidi" w:hAnsiTheme="majorBidi" w:cstheme="majorBidi"/>
        </w:rPr>
        <w:t xml:space="preserve">.  For example, Reuven causes Shimon to violate Shabbat, Reuven violates </w:t>
      </w:r>
      <w:proofErr w:type="spellStart"/>
      <w:r w:rsidRPr="00496440">
        <w:rPr>
          <w:rFonts w:asciiTheme="majorBidi" w:hAnsiTheme="majorBidi" w:cstheme="majorBidi"/>
        </w:rPr>
        <w:t>Lifnei</w:t>
      </w:r>
      <w:proofErr w:type="spellEnd"/>
      <w:r w:rsidRPr="00496440">
        <w:rPr>
          <w:rFonts w:asciiTheme="majorBidi" w:hAnsiTheme="majorBidi" w:cstheme="majorBidi"/>
        </w:rPr>
        <w:t xml:space="preserve"> </w:t>
      </w:r>
      <w:proofErr w:type="spellStart"/>
      <w:r w:rsidRPr="00496440">
        <w:rPr>
          <w:rFonts w:asciiTheme="majorBidi" w:hAnsiTheme="majorBidi" w:cstheme="majorBidi"/>
        </w:rPr>
        <w:t>Iver</w:t>
      </w:r>
      <w:proofErr w:type="spellEnd"/>
      <w:r w:rsidRPr="00496440">
        <w:rPr>
          <w:rFonts w:asciiTheme="majorBidi" w:hAnsiTheme="majorBidi" w:cstheme="majorBidi"/>
        </w:rPr>
        <w:t xml:space="preserve">. </w:t>
      </w:r>
    </w:p>
    <w:p w14:paraId="6B29A94C" w14:textId="1F385910" w:rsidR="00713C60" w:rsidRPr="00496440" w:rsidRDefault="00713C60" w:rsidP="00713C60">
      <w:pPr>
        <w:pStyle w:val="ListParagraph"/>
        <w:numPr>
          <w:ilvl w:val="1"/>
          <w:numId w:val="2"/>
        </w:numPr>
        <w:rPr>
          <w:rFonts w:asciiTheme="majorBidi" w:hAnsiTheme="majorBidi" w:cstheme="majorBidi"/>
        </w:rPr>
      </w:pPr>
      <w:r w:rsidRPr="00496440">
        <w:rPr>
          <w:rFonts w:asciiTheme="majorBidi" w:hAnsiTheme="majorBidi" w:cstheme="majorBidi"/>
        </w:rPr>
        <w:t xml:space="preserve">If you wrote a code of Halacha, where would you put the law “Reuven cannot cause Shimon to violate Shabbat.”?  Would you put in </w:t>
      </w:r>
      <w:proofErr w:type="spellStart"/>
      <w:r w:rsidRPr="00496440">
        <w:rPr>
          <w:rFonts w:asciiTheme="majorBidi" w:hAnsiTheme="majorBidi" w:cstheme="majorBidi"/>
        </w:rPr>
        <w:t>Hilchot</w:t>
      </w:r>
      <w:proofErr w:type="spellEnd"/>
      <w:r w:rsidRPr="00496440">
        <w:rPr>
          <w:rFonts w:asciiTheme="majorBidi" w:hAnsiTheme="majorBidi" w:cstheme="majorBidi"/>
        </w:rPr>
        <w:t xml:space="preserve"> Shabbat?  Somewhere else?  Why? What does this say about the nature of </w:t>
      </w:r>
      <w:proofErr w:type="spellStart"/>
      <w:r w:rsidRPr="00496440">
        <w:rPr>
          <w:rFonts w:asciiTheme="majorBidi" w:hAnsiTheme="majorBidi" w:cstheme="majorBidi"/>
        </w:rPr>
        <w:t>Lifnei</w:t>
      </w:r>
      <w:proofErr w:type="spellEnd"/>
      <w:r w:rsidRPr="00496440">
        <w:rPr>
          <w:rFonts w:asciiTheme="majorBidi" w:hAnsiTheme="majorBidi" w:cstheme="majorBidi"/>
        </w:rPr>
        <w:t xml:space="preserve"> </w:t>
      </w:r>
      <w:proofErr w:type="spellStart"/>
      <w:r w:rsidRPr="00496440">
        <w:rPr>
          <w:rFonts w:asciiTheme="majorBidi" w:hAnsiTheme="majorBidi" w:cstheme="majorBidi"/>
        </w:rPr>
        <w:t>Iver</w:t>
      </w:r>
      <w:proofErr w:type="spellEnd"/>
      <w:r w:rsidRPr="00496440">
        <w:rPr>
          <w:rFonts w:asciiTheme="majorBidi" w:hAnsiTheme="majorBidi" w:cstheme="majorBidi"/>
        </w:rPr>
        <w:t>?</w:t>
      </w:r>
      <w:r w:rsidR="00127C44" w:rsidRPr="00496440">
        <w:rPr>
          <w:rFonts w:asciiTheme="majorBidi" w:hAnsiTheme="majorBidi" w:cstheme="majorBidi"/>
        </w:rPr>
        <w:t xml:space="preserve">  Does Reuven violate a “Shabbat law” or a “</w:t>
      </w:r>
      <w:proofErr w:type="spellStart"/>
      <w:r w:rsidR="00127C44" w:rsidRPr="00496440">
        <w:rPr>
          <w:rFonts w:asciiTheme="majorBidi" w:hAnsiTheme="majorBidi" w:cstheme="majorBidi"/>
        </w:rPr>
        <w:t>Lifnei</w:t>
      </w:r>
      <w:proofErr w:type="spellEnd"/>
      <w:r w:rsidR="00127C44" w:rsidRPr="00496440">
        <w:rPr>
          <w:rFonts w:asciiTheme="majorBidi" w:hAnsiTheme="majorBidi" w:cstheme="majorBidi"/>
        </w:rPr>
        <w:t xml:space="preserve"> </w:t>
      </w:r>
      <w:proofErr w:type="spellStart"/>
      <w:r w:rsidR="00127C44" w:rsidRPr="00496440">
        <w:rPr>
          <w:rFonts w:asciiTheme="majorBidi" w:hAnsiTheme="majorBidi" w:cstheme="majorBidi"/>
        </w:rPr>
        <w:t>Iver</w:t>
      </w:r>
      <w:proofErr w:type="spellEnd"/>
      <w:r w:rsidR="00127C44" w:rsidRPr="00496440">
        <w:rPr>
          <w:rFonts w:asciiTheme="majorBidi" w:hAnsiTheme="majorBidi" w:cstheme="majorBidi"/>
        </w:rPr>
        <w:t>” law?</w:t>
      </w:r>
    </w:p>
    <w:p w14:paraId="6B2C8E25" w14:textId="27D2331B" w:rsidR="0052497B" w:rsidRPr="00496440" w:rsidRDefault="00AB2184" w:rsidP="00713C60">
      <w:pPr>
        <w:pStyle w:val="ListParagraph"/>
        <w:numPr>
          <w:ilvl w:val="1"/>
          <w:numId w:val="2"/>
        </w:numPr>
        <w:rPr>
          <w:rFonts w:asciiTheme="majorBidi" w:hAnsiTheme="majorBidi" w:cstheme="majorBidi"/>
        </w:rPr>
      </w:pPr>
      <w:r w:rsidRPr="00496440">
        <w:rPr>
          <w:rFonts w:asciiTheme="majorBidi" w:hAnsiTheme="majorBidi" w:cstheme="majorBidi"/>
        </w:rPr>
        <w:t xml:space="preserve">What implications will this have?  Many practical differences will emerge, as the sections below outline.  </w:t>
      </w:r>
    </w:p>
    <w:p w14:paraId="4E7DCB5E" w14:textId="77777777" w:rsidR="0052497B" w:rsidRPr="00496440" w:rsidRDefault="0052497B" w:rsidP="0052497B">
      <w:pPr>
        <w:pStyle w:val="ListParagraph"/>
        <w:ind w:left="1080"/>
        <w:rPr>
          <w:rFonts w:asciiTheme="majorBidi" w:hAnsiTheme="majorBidi" w:cstheme="majorBidi"/>
          <w:b/>
          <w:bCs/>
        </w:rPr>
      </w:pPr>
    </w:p>
    <w:p w14:paraId="5D7AE91A" w14:textId="63FF26BB" w:rsidR="00713C60" w:rsidRPr="00496440" w:rsidRDefault="00713C60" w:rsidP="00713C60">
      <w:pPr>
        <w:pStyle w:val="ListParagraph"/>
        <w:numPr>
          <w:ilvl w:val="0"/>
          <w:numId w:val="2"/>
        </w:numPr>
        <w:rPr>
          <w:rFonts w:asciiTheme="majorBidi" w:hAnsiTheme="majorBidi" w:cstheme="majorBidi"/>
          <w:b/>
          <w:bCs/>
        </w:rPr>
      </w:pPr>
      <w:proofErr w:type="spellStart"/>
      <w:r w:rsidRPr="00496440">
        <w:rPr>
          <w:rFonts w:asciiTheme="majorBidi" w:hAnsiTheme="majorBidi" w:cstheme="majorBidi"/>
          <w:b/>
          <w:bCs/>
        </w:rPr>
        <w:t>Yehareg</w:t>
      </w:r>
      <w:proofErr w:type="spellEnd"/>
      <w:r w:rsidRPr="00496440">
        <w:rPr>
          <w:rFonts w:asciiTheme="majorBidi" w:hAnsiTheme="majorBidi" w:cstheme="majorBidi"/>
          <w:b/>
          <w:bCs/>
        </w:rPr>
        <w:t xml:space="preserve"> </w:t>
      </w:r>
      <w:proofErr w:type="spellStart"/>
      <w:r w:rsidRPr="00496440">
        <w:rPr>
          <w:rFonts w:asciiTheme="majorBidi" w:hAnsiTheme="majorBidi" w:cstheme="majorBidi"/>
          <w:b/>
          <w:bCs/>
        </w:rPr>
        <w:t>V’Al</w:t>
      </w:r>
      <w:proofErr w:type="spellEnd"/>
      <w:r w:rsidRPr="00496440">
        <w:rPr>
          <w:rFonts w:asciiTheme="majorBidi" w:hAnsiTheme="majorBidi" w:cstheme="majorBidi"/>
          <w:b/>
          <w:bCs/>
        </w:rPr>
        <w:t xml:space="preserve"> </w:t>
      </w:r>
      <w:proofErr w:type="spellStart"/>
      <w:r w:rsidRPr="00496440">
        <w:rPr>
          <w:rFonts w:asciiTheme="majorBidi" w:hAnsiTheme="majorBidi" w:cstheme="majorBidi"/>
          <w:b/>
          <w:bCs/>
        </w:rPr>
        <w:t>Yaavor</w:t>
      </w:r>
      <w:proofErr w:type="spellEnd"/>
    </w:p>
    <w:p w14:paraId="6F22AC26" w14:textId="148D9049" w:rsidR="00713C60" w:rsidRPr="00496440" w:rsidRDefault="00713C60" w:rsidP="00713C60">
      <w:pPr>
        <w:pStyle w:val="ListParagraph"/>
        <w:numPr>
          <w:ilvl w:val="1"/>
          <w:numId w:val="2"/>
        </w:numPr>
        <w:rPr>
          <w:rFonts w:asciiTheme="majorBidi" w:hAnsiTheme="majorBidi" w:cstheme="majorBidi"/>
        </w:rPr>
      </w:pPr>
      <w:r w:rsidRPr="00496440">
        <w:rPr>
          <w:rFonts w:asciiTheme="majorBidi" w:hAnsiTheme="majorBidi" w:cstheme="majorBidi"/>
        </w:rPr>
        <w:t xml:space="preserve">The </w:t>
      </w:r>
      <w:proofErr w:type="spellStart"/>
      <w:r w:rsidRPr="00496440">
        <w:rPr>
          <w:rFonts w:asciiTheme="majorBidi" w:hAnsiTheme="majorBidi" w:cstheme="majorBidi"/>
        </w:rPr>
        <w:t>Gemara</w:t>
      </w:r>
      <w:proofErr w:type="spellEnd"/>
      <w:r w:rsidRPr="00496440">
        <w:rPr>
          <w:rFonts w:asciiTheme="majorBidi" w:hAnsiTheme="majorBidi" w:cstheme="majorBidi"/>
        </w:rPr>
        <w:t xml:space="preserve"> in several places rules that there are three “cardinal sins” for which one must rather give his life than violate.  They are 1) Murder 2) Idolatry 3) Forbidden Sexual Relationships</w:t>
      </w:r>
      <w:r w:rsidRPr="00496440">
        <w:rPr>
          <w:rFonts w:asciiTheme="majorBidi" w:hAnsiTheme="majorBidi" w:cstheme="majorBidi"/>
          <w:rtl/>
        </w:rPr>
        <w:t xml:space="preserve"> רציחה, עבודה זרה, גילוי עריות- </w:t>
      </w:r>
    </w:p>
    <w:p w14:paraId="4EC7813A" w14:textId="43354D59" w:rsidR="00713C60" w:rsidRPr="00496440" w:rsidRDefault="00713C60" w:rsidP="00713C60">
      <w:pPr>
        <w:pStyle w:val="ListParagraph"/>
        <w:numPr>
          <w:ilvl w:val="1"/>
          <w:numId w:val="2"/>
        </w:numPr>
        <w:rPr>
          <w:rFonts w:asciiTheme="majorBidi" w:hAnsiTheme="majorBidi" w:cstheme="majorBidi"/>
        </w:rPr>
      </w:pPr>
      <w:r w:rsidRPr="00496440">
        <w:rPr>
          <w:rFonts w:asciiTheme="majorBidi" w:hAnsiTheme="majorBidi" w:cstheme="majorBidi"/>
        </w:rPr>
        <w:t xml:space="preserve">Additionally, many </w:t>
      </w:r>
      <w:proofErr w:type="spellStart"/>
      <w:r w:rsidRPr="00496440">
        <w:rPr>
          <w:rFonts w:asciiTheme="majorBidi" w:hAnsiTheme="majorBidi" w:cstheme="majorBidi"/>
        </w:rPr>
        <w:t>Rishonim</w:t>
      </w:r>
      <w:proofErr w:type="spellEnd"/>
      <w:r w:rsidRPr="00496440">
        <w:rPr>
          <w:rFonts w:asciiTheme="majorBidi" w:hAnsiTheme="majorBidi" w:cstheme="majorBidi"/>
        </w:rPr>
        <w:t xml:space="preserve"> rule that any subsidiary </w:t>
      </w:r>
      <w:r w:rsidR="00BE4147" w:rsidRPr="00496440">
        <w:rPr>
          <w:rFonts w:asciiTheme="majorBidi" w:hAnsiTheme="majorBidi" w:cstheme="majorBidi"/>
        </w:rPr>
        <w:t xml:space="preserve">of these three are also </w:t>
      </w:r>
      <w:r w:rsidR="00BE4147" w:rsidRPr="00496440">
        <w:rPr>
          <w:rFonts w:asciiTheme="majorBidi" w:hAnsiTheme="majorBidi" w:cstheme="majorBidi"/>
          <w:rtl/>
        </w:rPr>
        <w:t>יהרג ואל יעבר</w:t>
      </w:r>
      <w:r w:rsidR="00127C44" w:rsidRPr="00496440">
        <w:rPr>
          <w:rFonts w:asciiTheme="majorBidi" w:hAnsiTheme="majorBidi" w:cstheme="majorBidi"/>
        </w:rPr>
        <w:t xml:space="preserve">, what is called </w:t>
      </w:r>
      <w:r w:rsidR="00127C44" w:rsidRPr="00496440">
        <w:rPr>
          <w:rFonts w:asciiTheme="majorBidi" w:hAnsiTheme="majorBidi" w:cstheme="majorBidi"/>
          <w:rtl/>
        </w:rPr>
        <w:t>אבזריהו</w:t>
      </w:r>
    </w:p>
    <w:p w14:paraId="7126E177" w14:textId="0006D77F" w:rsidR="00BE4147" w:rsidRPr="00496440" w:rsidRDefault="00BE4147" w:rsidP="00713C60">
      <w:pPr>
        <w:pStyle w:val="ListParagraph"/>
        <w:numPr>
          <w:ilvl w:val="1"/>
          <w:numId w:val="2"/>
        </w:numPr>
        <w:rPr>
          <w:rFonts w:asciiTheme="majorBidi" w:hAnsiTheme="majorBidi" w:cstheme="majorBidi"/>
        </w:rPr>
      </w:pPr>
      <w:r w:rsidRPr="00496440">
        <w:rPr>
          <w:rFonts w:asciiTheme="majorBidi" w:hAnsiTheme="majorBidi" w:cstheme="majorBidi"/>
        </w:rPr>
        <w:t>What do you think should be the case if Reuven tells Shimon “convince Levi to kill Yehuda or I will kill you.”</w:t>
      </w:r>
      <w:r w:rsidR="00C950DD" w:rsidRPr="00496440">
        <w:rPr>
          <w:rFonts w:asciiTheme="majorBidi" w:hAnsiTheme="majorBidi" w:cstheme="majorBidi"/>
        </w:rPr>
        <w:t>?</w:t>
      </w:r>
      <w:r w:rsidRPr="00496440">
        <w:rPr>
          <w:rFonts w:asciiTheme="majorBidi" w:hAnsiTheme="majorBidi" w:cstheme="majorBidi"/>
        </w:rPr>
        <w:t xml:space="preserve"> Is </w:t>
      </w:r>
      <w:proofErr w:type="spellStart"/>
      <w:r w:rsidRPr="00496440">
        <w:rPr>
          <w:rFonts w:asciiTheme="majorBidi" w:hAnsiTheme="majorBidi" w:cstheme="majorBidi"/>
        </w:rPr>
        <w:t>Lifnei</w:t>
      </w:r>
      <w:proofErr w:type="spellEnd"/>
      <w:r w:rsidRPr="00496440">
        <w:rPr>
          <w:rFonts w:asciiTheme="majorBidi" w:hAnsiTheme="majorBidi" w:cstheme="majorBidi"/>
        </w:rPr>
        <w:t xml:space="preserve"> </w:t>
      </w:r>
      <w:proofErr w:type="spellStart"/>
      <w:r w:rsidRPr="00496440">
        <w:rPr>
          <w:rFonts w:asciiTheme="majorBidi" w:hAnsiTheme="majorBidi" w:cstheme="majorBidi"/>
        </w:rPr>
        <w:t>Iver</w:t>
      </w:r>
      <w:proofErr w:type="spellEnd"/>
      <w:r w:rsidRPr="00496440">
        <w:rPr>
          <w:rFonts w:asciiTheme="majorBidi" w:hAnsiTheme="majorBidi" w:cstheme="majorBidi"/>
        </w:rPr>
        <w:t xml:space="preserve"> of the big three also a cardinal sin?  </w:t>
      </w:r>
      <w:r w:rsidR="0035300E" w:rsidRPr="00496440">
        <w:rPr>
          <w:rFonts w:asciiTheme="majorBidi" w:hAnsiTheme="majorBidi" w:cstheme="majorBidi"/>
        </w:rPr>
        <w:t>Why or why not?</w:t>
      </w:r>
    </w:p>
    <w:p w14:paraId="0ED64CFB" w14:textId="59131899" w:rsidR="00BE4147" w:rsidRPr="00496440" w:rsidRDefault="00C950DD" w:rsidP="00713C60">
      <w:pPr>
        <w:pStyle w:val="ListParagraph"/>
        <w:numPr>
          <w:ilvl w:val="1"/>
          <w:numId w:val="2"/>
        </w:numPr>
        <w:rPr>
          <w:rFonts w:asciiTheme="majorBidi" w:hAnsiTheme="majorBidi" w:cstheme="majorBidi"/>
        </w:rPr>
      </w:pPr>
      <w:r w:rsidRPr="00496440">
        <w:rPr>
          <w:rFonts w:asciiTheme="majorBidi" w:hAnsiTheme="majorBidi" w:cstheme="majorBidi"/>
        </w:rPr>
        <w:t xml:space="preserve">See </w:t>
      </w:r>
      <w:r w:rsidRPr="00496440">
        <w:rPr>
          <w:rFonts w:asciiTheme="majorBidi" w:hAnsiTheme="majorBidi" w:cstheme="majorBidi"/>
          <w:b/>
          <w:bCs/>
        </w:rPr>
        <w:t xml:space="preserve">the </w:t>
      </w:r>
      <w:proofErr w:type="spellStart"/>
      <w:r w:rsidRPr="00496440">
        <w:rPr>
          <w:rFonts w:asciiTheme="majorBidi" w:hAnsiTheme="majorBidi" w:cstheme="majorBidi"/>
          <w:b/>
          <w:bCs/>
        </w:rPr>
        <w:t>Ritva</w:t>
      </w:r>
      <w:proofErr w:type="spellEnd"/>
      <w:r w:rsidRPr="00496440">
        <w:rPr>
          <w:rFonts w:asciiTheme="majorBidi" w:hAnsiTheme="majorBidi" w:cstheme="majorBidi"/>
          <w:b/>
          <w:bCs/>
        </w:rPr>
        <w:t xml:space="preserve"> on 6b</w:t>
      </w:r>
      <w:r w:rsidRPr="00496440">
        <w:rPr>
          <w:rFonts w:asciiTheme="majorBidi" w:hAnsiTheme="majorBidi" w:cstheme="majorBidi"/>
        </w:rPr>
        <w:t xml:space="preserve">.  In the Mossad </w:t>
      </w:r>
      <w:proofErr w:type="spellStart"/>
      <w:r w:rsidRPr="00496440">
        <w:rPr>
          <w:rFonts w:asciiTheme="majorBidi" w:hAnsiTheme="majorBidi" w:cstheme="majorBidi"/>
        </w:rPr>
        <w:t>HaRav</w:t>
      </w:r>
      <w:proofErr w:type="spellEnd"/>
      <w:r w:rsidRPr="00496440">
        <w:rPr>
          <w:rFonts w:asciiTheme="majorBidi" w:hAnsiTheme="majorBidi" w:cstheme="majorBidi"/>
        </w:rPr>
        <w:t xml:space="preserve"> Kook </w:t>
      </w:r>
      <w:proofErr w:type="spellStart"/>
      <w:r w:rsidRPr="00496440">
        <w:rPr>
          <w:rFonts w:asciiTheme="majorBidi" w:hAnsiTheme="majorBidi" w:cstheme="majorBidi"/>
        </w:rPr>
        <w:t>Ritva</w:t>
      </w:r>
      <w:proofErr w:type="spellEnd"/>
      <w:r w:rsidRPr="00496440">
        <w:rPr>
          <w:rFonts w:asciiTheme="majorBidi" w:hAnsiTheme="majorBidi" w:cstheme="majorBidi"/>
        </w:rPr>
        <w:t xml:space="preserve">, it is column </w:t>
      </w:r>
      <w:r w:rsidRPr="00496440">
        <w:rPr>
          <w:rFonts w:asciiTheme="majorBidi" w:hAnsiTheme="majorBidi" w:cstheme="majorBidi"/>
          <w:rtl/>
        </w:rPr>
        <w:t>יב</w:t>
      </w:r>
      <w:r w:rsidRPr="00496440">
        <w:rPr>
          <w:rFonts w:asciiTheme="majorBidi" w:hAnsiTheme="majorBidi" w:cstheme="majorBidi"/>
        </w:rPr>
        <w:t xml:space="preserve">.  The paragraph starts </w:t>
      </w:r>
      <w:r w:rsidRPr="00496440">
        <w:rPr>
          <w:rFonts w:asciiTheme="majorBidi" w:hAnsiTheme="majorBidi" w:cstheme="majorBidi"/>
          <w:rtl/>
        </w:rPr>
        <w:t>דאף על גב</w:t>
      </w:r>
      <w:r w:rsidRPr="00496440">
        <w:rPr>
          <w:rFonts w:asciiTheme="majorBidi" w:hAnsiTheme="majorBidi" w:cstheme="majorBidi"/>
        </w:rPr>
        <w:t xml:space="preserve">.  See footnotes 114-116.  </w:t>
      </w:r>
    </w:p>
    <w:p w14:paraId="4CA39453" w14:textId="15B7AF6C" w:rsidR="00C950DD" w:rsidRPr="00496440" w:rsidRDefault="00C950DD" w:rsidP="00713C60">
      <w:pPr>
        <w:pStyle w:val="ListParagraph"/>
        <w:numPr>
          <w:ilvl w:val="1"/>
          <w:numId w:val="2"/>
        </w:numPr>
        <w:rPr>
          <w:rFonts w:asciiTheme="majorBidi" w:hAnsiTheme="majorBidi" w:cstheme="majorBidi"/>
        </w:rPr>
      </w:pPr>
      <w:r w:rsidRPr="00496440">
        <w:rPr>
          <w:rFonts w:asciiTheme="majorBidi" w:hAnsiTheme="majorBidi" w:cstheme="majorBidi"/>
        </w:rPr>
        <w:t xml:space="preserve">If you want to challenge yourself, see the comments of the </w:t>
      </w:r>
      <w:proofErr w:type="spellStart"/>
      <w:r w:rsidRPr="00496440">
        <w:rPr>
          <w:rFonts w:asciiTheme="majorBidi" w:hAnsiTheme="majorBidi" w:cstheme="majorBidi"/>
        </w:rPr>
        <w:t>Ramban</w:t>
      </w:r>
      <w:proofErr w:type="spellEnd"/>
      <w:r w:rsidRPr="00496440">
        <w:rPr>
          <w:rFonts w:asciiTheme="majorBidi" w:hAnsiTheme="majorBidi" w:cstheme="majorBidi"/>
        </w:rPr>
        <w:t xml:space="preserve"> in the </w:t>
      </w:r>
      <w:proofErr w:type="spellStart"/>
      <w:r w:rsidRPr="00496440">
        <w:rPr>
          <w:rFonts w:asciiTheme="majorBidi" w:hAnsiTheme="majorBidi" w:cstheme="majorBidi"/>
        </w:rPr>
        <w:t>Milchamot</w:t>
      </w:r>
      <w:proofErr w:type="spellEnd"/>
      <w:r w:rsidRPr="00496440">
        <w:rPr>
          <w:rFonts w:asciiTheme="majorBidi" w:hAnsiTheme="majorBidi" w:cstheme="majorBidi"/>
        </w:rPr>
        <w:t xml:space="preserve"> Hashem and the Baal </w:t>
      </w:r>
      <w:proofErr w:type="spellStart"/>
      <w:r w:rsidRPr="00496440">
        <w:rPr>
          <w:rFonts w:asciiTheme="majorBidi" w:hAnsiTheme="majorBidi" w:cstheme="majorBidi"/>
        </w:rPr>
        <w:t>HaMaor</w:t>
      </w:r>
      <w:proofErr w:type="spellEnd"/>
      <w:r w:rsidRPr="00496440">
        <w:rPr>
          <w:rFonts w:asciiTheme="majorBidi" w:hAnsiTheme="majorBidi" w:cstheme="majorBidi"/>
        </w:rPr>
        <w:t xml:space="preserve"> that is referenced </w:t>
      </w:r>
      <w:r w:rsidR="0035300E" w:rsidRPr="00496440">
        <w:rPr>
          <w:rFonts w:asciiTheme="majorBidi" w:hAnsiTheme="majorBidi" w:cstheme="majorBidi"/>
        </w:rPr>
        <w:t xml:space="preserve">in those notes.  </w:t>
      </w:r>
    </w:p>
    <w:p w14:paraId="6F8394A3" w14:textId="77777777" w:rsidR="00585842" w:rsidRPr="00496440" w:rsidRDefault="00585842" w:rsidP="00585842">
      <w:pPr>
        <w:pStyle w:val="ListParagraph"/>
        <w:ind w:left="1440"/>
        <w:rPr>
          <w:rFonts w:asciiTheme="majorBidi" w:hAnsiTheme="majorBidi" w:cstheme="majorBidi"/>
        </w:rPr>
      </w:pPr>
    </w:p>
    <w:p w14:paraId="303D6A3A" w14:textId="180B6F4D" w:rsidR="00585842" w:rsidRPr="00496440" w:rsidRDefault="00850871" w:rsidP="00585842">
      <w:pPr>
        <w:pStyle w:val="ListParagraph"/>
        <w:numPr>
          <w:ilvl w:val="0"/>
          <w:numId w:val="2"/>
        </w:numPr>
        <w:rPr>
          <w:rFonts w:asciiTheme="majorBidi" w:hAnsiTheme="majorBidi" w:cstheme="majorBidi"/>
          <w:b/>
          <w:bCs/>
        </w:rPr>
      </w:pPr>
      <w:proofErr w:type="spellStart"/>
      <w:r w:rsidRPr="00496440">
        <w:rPr>
          <w:rFonts w:asciiTheme="majorBidi" w:hAnsiTheme="majorBidi" w:cstheme="majorBidi"/>
          <w:b/>
          <w:bCs/>
        </w:rPr>
        <w:t>Lifnei</w:t>
      </w:r>
      <w:proofErr w:type="spellEnd"/>
      <w:r w:rsidRPr="00496440">
        <w:rPr>
          <w:rFonts w:asciiTheme="majorBidi" w:hAnsiTheme="majorBidi" w:cstheme="majorBidi"/>
          <w:b/>
          <w:bCs/>
        </w:rPr>
        <w:t xml:space="preserve"> </w:t>
      </w:r>
      <w:proofErr w:type="spellStart"/>
      <w:r w:rsidRPr="00496440">
        <w:rPr>
          <w:rFonts w:asciiTheme="majorBidi" w:hAnsiTheme="majorBidi" w:cstheme="majorBidi"/>
          <w:b/>
          <w:bCs/>
        </w:rPr>
        <w:t>Iver</w:t>
      </w:r>
      <w:proofErr w:type="spellEnd"/>
      <w:r w:rsidRPr="00496440">
        <w:rPr>
          <w:rFonts w:asciiTheme="majorBidi" w:hAnsiTheme="majorBidi" w:cstheme="majorBidi"/>
          <w:b/>
          <w:bCs/>
        </w:rPr>
        <w:t xml:space="preserve"> for Shabbat</w:t>
      </w:r>
    </w:p>
    <w:p w14:paraId="09B99E77" w14:textId="644E9396" w:rsidR="00850871" w:rsidRPr="00496440" w:rsidRDefault="00850871" w:rsidP="00850871">
      <w:pPr>
        <w:pStyle w:val="ListParagraph"/>
        <w:numPr>
          <w:ilvl w:val="1"/>
          <w:numId w:val="2"/>
        </w:numPr>
        <w:rPr>
          <w:rFonts w:asciiTheme="majorBidi" w:hAnsiTheme="majorBidi" w:cstheme="majorBidi"/>
        </w:rPr>
      </w:pPr>
      <w:r w:rsidRPr="00496440">
        <w:rPr>
          <w:rFonts w:asciiTheme="majorBidi" w:hAnsiTheme="majorBidi" w:cstheme="majorBidi"/>
        </w:rPr>
        <w:t xml:space="preserve">The status of a </w:t>
      </w:r>
      <w:r w:rsidRPr="00496440">
        <w:rPr>
          <w:rFonts w:asciiTheme="majorBidi" w:hAnsiTheme="majorBidi" w:cstheme="majorBidi"/>
          <w:rtl/>
        </w:rPr>
        <w:t xml:space="preserve">מחלל שבת בפרהסיא </w:t>
      </w:r>
      <w:r w:rsidRPr="00496440">
        <w:rPr>
          <w:rFonts w:asciiTheme="majorBidi" w:hAnsiTheme="majorBidi" w:cstheme="majorBidi"/>
        </w:rPr>
        <w:t xml:space="preserve">– a public Shabbat violator, is quite severe.  He is defined as a </w:t>
      </w:r>
      <w:proofErr w:type="gramStart"/>
      <w:r w:rsidRPr="00496440">
        <w:rPr>
          <w:rFonts w:asciiTheme="majorBidi" w:hAnsiTheme="majorBidi" w:cstheme="majorBidi"/>
          <w:rtl/>
        </w:rPr>
        <w:t xml:space="preserve">מומר </w:t>
      </w:r>
      <w:r w:rsidRPr="00496440">
        <w:rPr>
          <w:rFonts w:asciiTheme="majorBidi" w:hAnsiTheme="majorBidi" w:cstheme="majorBidi"/>
        </w:rPr>
        <w:t xml:space="preserve"> and</w:t>
      </w:r>
      <w:proofErr w:type="gramEnd"/>
      <w:r w:rsidRPr="00496440">
        <w:rPr>
          <w:rFonts w:asciiTheme="majorBidi" w:hAnsiTheme="majorBidi" w:cstheme="majorBidi"/>
        </w:rPr>
        <w:t xml:space="preserve"> has the status of a non-Jew for certain </w:t>
      </w:r>
      <w:proofErr w:type="spellStart"/>
      <w:r w:rsidRPr="00496440">
        <w:rPr>
          <w:rFonts w:asciiTheme="majorBidi" w:hAnsiTheme="majorBidi" w:cstheme="majorBidi"/>
        </w:rPr>
        <w:t>halachot</w:t>
      </w:r>
      <w:proofErr w:type="spellEnd"/>
      <w:r w:rsidRPr="00496440">
        <w:rPr>
          <w:rFonts w:asciiTheme="majorBidi" w:hAnsiTheme="majorBidi" w:cstheme="majorBidi"/>
        </w:rPr>
        <w:t xml:space="preserve">.  </w:t>
      </w:r>
    </w:p>
    <w:p w14:paraId="3580D662" w14:textId="27A77CC1" w:rsidR="00850871" w:rsidRPr="00496440" w:rsidRDefault="00850871" w:rsidP="00850871">
      <w:pPr>
        <w:pStyle w:val="ListParagraph"/>
        <w:numPr>
          <w:ilvl w:val="1"/>
          <w:numId w:val="2"/>
        </w:numPr>
        <w:rPr>
          <w:rFonts w:asciiTheme="majorBidi" w:hAnsiTheme="majorBidi" w:cstheme="majorBidi"/>
        </w:rPr>
      </w:pPr>
      <w:r w:rsidRPr="00496440">
        <w:rPr>
          <w:rFonts w:asciiTheme="majorBidi" w:hAnsiTheme="majorBidi" w:cstheme="majorBidi"/>
        </w:rPr>
        <w:t xml:space="preserve">What about someone who enables someone else to violate Shabbat? </w:t>
      </w:r>
      <w:r w:rsidR="0035300E" w:rsidRPr="00496440">
        <w:rPr>
          <w:rFonts w:asciiTheme="majorBidi" w:hAnsiTheme="majorBidi" w:cstheme="majorBidi"/>
        </w:rPr>
        <w:t xml:space="preserve"> Does he take this status</w:t>
      </w:r>
      <w:r w:rsidR="00037A92">
        <w:rPr>
          <w:rFonts w:asciiTheme="majorBidi" w:hAnsiTheme="majorBidi" w:cstheme="majorBidi"/>
        </w:rPr>
        <w:t>?</w:t>
      </w:r>
    </w:p>
    <w:p w14:paraId="2AFD3F52" w14:textId="74E00E11" w:rsidR="00850871" w:rsidRDefault="000836BF" w:rsidP="00850871">
      <w:pPr>
        <w:pStyle w:val="ListParagraph"/>
        <w:numPr>
          <w:ilvl w:val="1"/>
          <w:numId w:val="2"/>
        </w:numPr>
        <w:rPr>
          <w:rFonts w:asciiTheme="majorBidi" w:hAnsiTheme="majorBidi" w:cstheme="majorBidi"/>
        </w:rPr>
      </w:pPr>
      <w:r>
        <w:rPr>
          <w:rFonts w:asciiTheme="majorBidi" w:hAnsiTheme="majorBidi" w:cstheme="majorBidi"/>
        </w:rPr>
        <w:t xml:space="preserve">The </w:t>
      </w:r>
      <w:proofErr w:type="spellStart"/>
      <w:r>
        <w:rPr>
          <w:rFonts w:asciiTheme="majorBidi" w:hAnsiTheme="majorBidi" w:cstheme="majorBidi"/>
        </w:rPr>
        <w:t>Gemara</w:t>
      </w:r>
      <w:proofErr w:type="spellEnd"/>
      <w:r>
        <w:rPr>
          <w:rFonts w:asciiTheme="majorBidi" w:hAnsiTheme="majorBidi" w:cstheme="majorBidi"/>
        </w:rPr>
        <w:t xml:space="preserve"> in Shabbat (Mishna on 2a, </w:t>
      </w:r>
      <w:proofErr w:type="spellStart"/>
      <w:r>
        <w:rPr>
          <w:rFonts w:asciiTheme="majorBidi" w:hAnsiTheme="majorBidi" w:cstheme="majorBidi"/>
        </w:rPr>
        <w:t>Gemara</w:t>
      </w:r>
      <w:proofErr w:type="spellEnd"/>
      <w:r>
        <w:rPr>
          <w:rFonts w:asciiTheme="majorBidi" w:hAnsiTheme="majorBidi" w:cstheme="majorBidi"/>
        </w:rPr>
        <w:t xml:space="preserve"> at the end of 2b-3a)</w:t>
      </w:r>
      <w:r w:rsidR="00850871" w:rsidRPr="00496440">
        <w:rPr>
          <w:rFonts w:asciiTheme="majorBidi" w:hAnsiTheme="majorBidi" w:cstheme="majorBidi"/>
        </w:rPr>
        <w:t xml:space="preserve"> </w:t>
      </w:r>
      <w:r w:rsidR="00E46B73">
        <w:rPr>
          <w:rFonts w:asciiTheme="majorBidi" w:hAnsiTheme="majorBidi" w:cstheme="majorBidi"/>
        </w:rPr>
        <w:t xml:space="preserve">discuss various cases in which 2 people together violate Shabbat by transferring from a private domain to a public one, or the opposite.  In certain cases, the </w:t>
      </w:r>
      <w:proofErr w:type="spellStart"/>
      <w:r w:rsidR="00E46B73">
        <w:rPr>
          <w:rFonts w:asciiTheme="majorBidi" w:hAnsiTheme="majorBidi" w:cstheme="majorBidi"/>
        </w:rPr>
        <w:t>Gemara</w:t>
      </w:r>
      <w:proofErr w:type="spellEnd"/>
      <w:r w:rsidR="00E46B73">
        <w:rPr>
          <w:rFonts w:asciiTheme="majorBidi" w:hAnsiTheme="majorBidi" w:cstheme="majorBidi"/>
        </w:rPr>
        <w:t xml:space="preserve"> writes that only one of </w:t>
      </w:r>
      <w:r w:rsidR="00850871" w:rsidRPr="00496440">
        <w:rPr>
          <w:rFonts w:asciiTheme="majorBidi" w:hAnsiTheme="majorBidi" w:cstheme="majorBidi"/>
        </w:rPr>
        <w:t>the</w:t>
      </w:r>
      <w:r w:rsidR="00E46B73">
        <w:rPr>
          <w:rFonts w:asciiTheme="majorBidi" w:hAnsiTheme="majorBidi" w:cstheme="majorBidi"/>
        </w:rPr>
        <w:t>m violates</w:t>
      </w:r>
      <w:r w:rsidR="00E44F3A">
        <w:rPr>
          <w:rFonts w:asciiTheme="majorBidi" w:hAnsiTheme="majorBidi" w:cstheme="majorBidi"/>
        </w:rPr>
        <w:t xml:space="preserve">, and it is permitted for the other.  The </w:t>
      </w:r>
      <w:proofErr w:type="spellStart"/>
      <w:r w:rsidR="00E44F3A">
        <w:rPr>
          <w:rFonts w:asciiTheme="majorBidi" w:hAnsiTheme="majorBidi" w:cstheme="majorBidi"/>
        </w:rPr>
        <w:t>Rishonim</w:t>
      </w:r>
      <w:proofErr w:type="spellEnd"/>
      <w:r w:rsidR="00E44F3A">
        <w:rPr>
          <w:rFonts w:asciiTheme="majorBidi" w:hAnsiTheme="majorBidi" w:cstheme="majorBidi"/>
        </w:rPr>
        <w:t xml:space="preserve"> are bothered, as this person still enabled the violation of Shabbat.  See</w:t>
      </w:r>
      <w:r w:rsidR="00850871" w:rsidRPr="00496440">
        <w:rPr>
          <w:rFonts w:asciiTheme="majorBidi" w:hAnsiTheme="majorBidi" w:cstheme="majorBidi"/>
        </w:rPr>
        <w:t xml:space="preserve"> Ran, and Rabbi </w:t>
      </w:r>
      <w:proofErr w:type="spellStart"/>
      <w:r w:rsidR="00850871" w:rsidRPr="00496440">
        <w:rPr>
          <w:rFonts w:asciiTheme="majorBidi" w:hAnsiTheme="majorBidi" w:cstheme="majorBidi"/>
        </w:rPr>
        <w:t>Akiva</w:t>
      </w:r>
      <w:proofErr w:type="spellEnd"/>
      <w:r w:rsidR="00850871" w:rsidRPr="00496440">
        <w:rPr>
          <w:rFonts w:asciiTheme="majorBidi" w:hAnsiTheme="majorBidi" w:cstheme="majorBidi"/>
        </w:rPr>
        <w:t xml:space="preserve"> </w:t>
      </w:r>
      <w:proofErr w:type="spellStart"/>
      <w:r w:rsidR="00850871" w:rsidRPr="00496440">
        <w:rPr>
          <w:rFonts w:asciiTheme="majorBidi" w:hAnsiTheme="majorBidi" w:cstheme="majorBidi"/>
        </w:rPr>
        <w:t>Eigar</w:t>
      </w:r>
      <w:proofErr w:type="spellEnd"/>
      <w:r w:rsidR="00E44F3A">
        <w:rPr>
          <w:rFonts w:asciiTheme="majorBidi" w:hAnsiTheme="majorBidi" w:cstheme="majorBidi"/>
        </w:rPr>
        <w:t xml:space="preserve"> and how they deal with this problem, based on above.  </w:t>
      </w:r>
    </w:p>
    <w:p w14:paraId="52888AA0" w14:textId="77777777" w:rsidR="009F2A22" w:rsidRPr="00496440" w:rsidRDefault="009F2A22" w:rsidP="009F2A22">
      <w:pPr>
        <w:pStyle w:val="ListParagraph"/>
        <w:ind w:left="1440"/>
        <w:rPr>
          <w:rFonts w:asciiTheme="majorBidi" w:hAnsiTheme="majorBidi" w:cstheme="majorBidi"/>
        </w:rPr>
      </w:pPr>
      <w:bookmarkStart w:id="0" w:name="_GoBack"/>
      <w:bookmarkEnd w:id="0"/>
    </w:p>
    <w:p w14:paraId="3811F036" w14:textId="68FF86E8" w:rsidR="008704B8" w:rsidRPr="00496440" w:rsidRDefault="008704B8" w:rsidP="003B1740">
      <w:pPr>
        <w:pStyle w:val="NoSpacing"/>
        <w:numPr>
          <w:ilvl w:val="0"/>
          <w:numId w:val="3"/>
        </w:numPr>
        <w:bidi/>
        <w:rPr>
          <w:rFonts w:asciiTheme="majorBidi" w:hAnsiTheme="majorBidi" w:cstheme="majorBidi"/>
          <w:b/>
          <w:bCs/>
        </w:rPr>
      </w:pPr>
      <w:r w:rsidRPr="00496440">
        <w:rPr>
          <w:rFonts w:asciiTheme="majorBidi" w:hAnsiTheme="majorBidi" w:cstheme="majorBidi"/>
          <w:b/>
          <w:bCs/>
          <w:rtl/>
        </w:rPr>
        <w:t>הר"ן על הרי"ף מסכת שבת דף א עמוד א</w:t>
      </w:r>
      <w:r w:rsidRPr="00496440">
        <w:rPr>
          <w:rFonts w:asciiTheme="majorBidi" w:hAnsiTheme="majorBidi" w:cstheme="majorBidi"/>
          <w:b/>
          <w:bCs/>
        </w:rPr>
        <w:t xml:space="preserve"> </w:t>
      </w:r>
    </w:p>
    <w:p w14:paraId="7CD6AAD4" w14:textId="3D571184" w:rsidR="00EC334E" w:rsidRPr="00496440" w:rsidRDefault="008704B8" w:rsidP="008704B8">
      <w:pPr>
        <w:pStyle w:val="NoSpacing"/>
        <w:bidi/>
        <w:rPr>
          <w:rFonts w:asciiTheme="majorBidi" w:hAnsiTheme="majorBidi" w:cstheme="majorBidi"/>
          <w:b/>
          <w:bCs/>
          <w:rtl/>
        </w:rPr>
      </w:pPr>
      <w:r w:rsidRPr="00496440">
        <w:rPr>
          <w:rFonts w:asciiTheme="majorBidi" w:hAnsiTheme="majorBidi" w:cstheme="majorBidi"/>
          <w:rtl/>
        </w:rPr>
        <w:t xml:space="preserve">ומקשו הכא היאך מותר לכתחלה והא איכא משום לפני עור לא תתן מכשול וכי תימא כיון דבלאו בעה"ב יכול הוא ליטול ולהניח בקרקע לית ביה משום לפני עור כדמוכח בפ"ק דע"ז [דף ו ב] דאוקימנא ההיא דלא יושיט כוס יין לנזיר דמתסר משום לפני עור כגון דקאי בתרי עברי נהרא שאי אפשר לו לנזיר לשתות יין אלא על ידו משמע הא לאו הכי שרי ליתא [דאין] ודאי דבלאו הכי ליכא איסורא דאורייתא אבל מ"מ מדרבנן מיהא אסור שהרי מחויב הוא להפרישו מאיסור ואיך יסייענו בידים </w:t>
      </w:r>
      <w:r w:rsidR="0068564E" w:rsidRPr="00496440">
        <w:rPr>
          <w:rFonts w:asciiTheme="majorBidi" w:hAnsiTheme="majorBidi" w:cstheme="majorBidi"/>
        </w:rPr>
        <w:t>…</w:t>
      </w:r>
      <w:r w:rsidRPr="00496440">
        <w:rPr>
          <w:rFonts w:asciiTheme="majorBidi" w:hAnsiTheme="majorBidi" w:cstheme="majorBidi"/>
          <w:rtl/>
        </w:rPr>
        <w:t xml:space="preserve">וי"ל לעולם בנכרי ומיירי כגון שהחפץ של נכרי שאפי' מכניס ומוציא כל היום כולו אין כאן איסור כלל כיון שאין החפץ של ישראל כל זה פלפלו בתוס' וכתבתיו להתלמד בו </w:t>
      </w:r>
      <w:r w:rsidRPr="00496440">
        <w:rPr>
          <w:rFonts w:asciiTheme="majorBidi" w:hAnsiTheme="majorBidi" w:cstheme="majorBidi"/>
          <w:b/>
          <w:bCs/>
          <w:rtl/>
        </w:rPr>
        <w:t>ומיהו עיקר קושיא ליתא דאפי' בתרוייהו [ישראלים] מתוקמא מתני' דכי אמרי' בגמ' דהאי פטור פטור ומותר הוא מצד איסור שבת קאמרינן ולא דייקי' באיסור דלפני עור ובלתא דידיה מיירי</w:t>
      </w:r>
      <w:r w:rsidRPr="00496440">
        <w:rPr>
          <w:rFonts w:asciiTheme="majorBidi" w:hAnsiTheme="majorBidi" w:cstheme="majorBidi"/>
          <w:b/>
          <w:bCs/>
        </w:rPr>
        <w:t>:</w:t>
      </w:r>
    </w:p>
    <w:p w14:paraId="7A963E4D" w14:textId="3C2E0F07" w:rsidR="008704B8" w:rsidRPr="00496440" w:rsidRDefault="008704B8" w:rsidP="008704B8">
      <w:pPr>
        <w:pStyle w:val="NoSpacing"/>
        <w:bidi/>
        <w:rPr>
          <w:rFonts w:asciiTheme="majorBidi" w:hAnsiTheme="majorBidi" w:cstheme="majorBidi"/>
          <w:rtl/>
        </w:rPr>
      </w:pPr>
    </w:p>
    <w:p w14:paraId="3EB7D2F6" w14:textId="7F655CD9" w:rsidR="00BF4535" w:rsidRPr="00496440" w:rsidRDefault="00BF4535" w:rsidP="003B1740">
      <w:pPr>
        <w:pStyle w:val="NoSpacing"/>
        <w:numPr>
          <w:ilvl w:val="0"/>
          <w:numId w:val="3"/>
        </w:numPr>
        <w:bidi/>
        <w:rPr>
          <w:rFonts w:asciiTheme="majorBidi" w:hAnsiTheme="majorBidi" w:cstheme="majorBidi"/>
          <w:b/>
          <w:bCs/>
        </w:rPr>
      </w:pPr>
      <w:r w:rsidRPr="00496440">
        <w:rPr>
          <w:rFonts w:asciiTheme="majorBidi" w:hAnsiTheme="majorBidi" w:cstheme="majorBidi"/>
          <w:b/>
          <w:bCs/>
          <w:rtl/>
        </w:rPr>
        <w:t>רבי עקיבא איגר מסכת שבת דף ג עמוד א</w:t>
      </w:r>
    </w:p>
    <w:p w14:paraId="4E035EA0" w14:textId="2AE31B57" w:rsidR="00BF4535" w:rsidRPr="00496440" w:rsidRDefault="00BF4535" w:rsidP="00BF4535">
      <w:pPr>
        <w:pStyle w:val="NoSpacing"/>
        <w:bidi/>
        <w:rPr>
          <w:rFonts w:asciiTheme="majorBidi" w:hAnsiTheme="majorBidi" w:cstheme="majorBidi"/>
        </w:rPr>
      </w:pPr>
      <w:r w:rsidRPr="00496440">
        <w:rPr>
          <w:rFonts w:asciiTheme="majorBidi" w:hAnsiTheme="majorBidi" w:cstheme="majorBidi"/>
          <w:rtl/>
        </w:rPr>
        <w:t>בהר"ן ומקשו הכא האיך פטור בעה"ב ומותר לכתחילה, והא איכא משום לפני עור לא תתן מכשול כו', ומיהו עיקר קושיא ליתא דאפילו בתרוייהו ישראלים מתוקמא מתני' דכי אמרינן בגמרא דהאי פטור, פטור מותר הוא היינו מצד איסור שבת קאמרינן ולא דייקי' באיסור דלפני עור ובלתא דידיה לא מיירי. ויש אפילו נ"מ דהא קיי"ל מומר לדבר אחד לא הוי מומר לכל התורה כולה, אבל מומר לחלל שבת בפהרסי' הוי מומר לכל התורה כולה, ושחיטתו אסורה, ודעת הרבה מהאחרונים דאפילו במומר לחלל שבת באיסור דרבנן הוי מומר לכל התורה כולה, וא"כ היכא דהוא פטור אבל אסור מצד שבת אם עושה כן בפרהסיא הוי מומר לכל התורה כולה, ולזה אמרינן דהכא פטור ומותר מצד שבת, ולא עבר רק על לאו דלפני עור דהוא כמו לאו בעלמא ואינו בכלל מומר לחלל שבת.</w:t>
      </w:r>
    </w:p>
    <w:p w14:paraId="659CA2A1" w14:textId="77777777" w:rsidR="00CD7010" w:rsidRPr="00496440" w:rsidRDefault="00CD7010" w:rsidP="00CD7010">
      <w:pPr>
        <w:pStyle w:val="NoSpacing"/>
        <w:bidi/>
        <w:rPr>
          <w:rFonts w:asciiTheme="majorBidi" w:hAnsiTheme="majorBidi" w:cstheme="majorBidi"/>
          <w:rtl/>
        </w:rPr>
      </w:pPr>
    </w:p>
    <w:p w14:paraId="73DE7F63" w14:textId="6891F4AC" w:rsidR="00427E66" w:rsidRPr="00496440" w:rsidRDefault="00CD7010" w:rsidP="00CD7010">
      <w:pPr>
        <w:pStyle w:val="NoSpacing"/>
        <w:numPr>
          <w:ilvl w:val="0"/>
          <w:numId w:val="2"/>
        </w:numPr>
        <w:rPr>
          <w:rFonts w:asciiTheme="majorBidi" w:hAnsiTheme="majorBidi" w:cstheme="majorBidi"/>
          <w:b/>
          <w:bCs/>
        </w:rPr>
      </w:pPr>
      <w:r w:rsidRPr="00496440">
        <w:rPr>
          <w:rFonts w:asciiTheme="majorBidi" w:hAnsiTheme="majorBidi" w:cstheme="majorBidi"/>
          <w:b/>
          <w:bCs/>
        </w:rPr>
        <w:t xml:space="preserve">If the </w:t>
      </w:r>
      <w:proofErr w:type="gramStart"/>
      <w:r w:rsidR="001E66F9" w:rsidRPr="00496440">
        <w:rPr>
          <w:rFonts w:asciiTheme="majorBidi" w:hAnsiTheme="majorBidi" w:cstheme="majorBidi"/>
          <w:b/>
          <w:bCs/>
          <w:rtl/>
        </w:rPr>
        <w:t xml:space="preserve">מכשיל </w:t>
      </w:r>
      <w:r w:rsidR="001E66F9" w:rsidRPr="00496440">
        <w:rPr>
          <w:rFonts w:asciiTheme="majorBidi" w:hAnsiTheme="majorBidi" w:cstheme="majorBidi"/>
          <w:b/>
          <w:bCs/>
        </w:rPr>
        <w:t xml:space="preserve"> is</w:t>
      </w:r>
      <w:proofErr w:type="gramEnd"/>
      <w:r w:rsidR="001E66F9" w:rsidRPr="00496440">
        <w:rPr>
          <w:rFonts w:asciiTheme="majorBidi" w:hAnsiTheme="majorBidi" w:cstheme="majorBidi"/>
          <w:b/>
          <w:bCs/>
        </w:rPr>
        <w:t xml:space="preserve"> not obligated</w:t>
      </w:r>
    </w:p>
    <w:p w14:paraId="42645C87" w14:textId="0660EC48" w:rsidR="001E66F9" w:rsidRPr="00496440" w:rsidRDefault="001E66F9" w:rsidP="001E66F9">
      <w:pPr>
        <w:pStyle w:val="NoSpacing"/>
        <w:numPr>
          <w:ilvl w:val="1"/>
          <w:numId w:val="2"/>
        </w:numPr>
        <w:rPr>
          <w:rFonts w:asciiTheme="majorBidi" w:hAnsiTheme="majorBidi" w:cstheme="majorBidi"/>
        </w:rPr>
      </w:pPr>
      <w:r w:rsidRPr="00496440">
        <w:rPr>
          <w:rFonts w:asciiTheme="majorBidi" w:hAnsiTheme="majorBidi" w:cstheme="majorBidi"/>
        </w:rPr>
        <w:lastRenderedPageBreak/>
        <w:t xml:space="preserve">The simple understand of </w:t>
      </w:r>
      <w:proofErr w:type="spellStart"/>
      <w:r w:rsidRPr="00496440">
        <w:rPr>
          <w:rFonts w:asciiTheme="majorBidi" w:hAnsiTheme="majorBidi" w:cstheme="majorBidi"/>
        </w:rPr>
        <w:t>Avoda</w:t>
      </w:r>
      <w:proofErr w:type="spellEnd"/>
      <w:r w:rsidRPr="00496440">
        <w:rPr>
          <w:rFonts w:asciiTheme="majorBidi" w:hAnsiTheme="majorBidi" w:cstheme="majorBidi"/>
        </w:rPr>
        <w:t xml:space="preserve"> Zara 6a-b regarding the Nazir is that one violates </w:t>
      </w:r>
      <w:proofErr w:type="spellStart"/>
      <w:r w:rsidRPr="00496440">
        <w:rPr>
          <w:rFonts w:asciiTheme="majorBidi" w:hAnsiTheme="majorBidi" w:cstheme="majorBidi"/>
        </w:rPr>
        <w:t>Lifnei</w:t>
      </w:r>
      <w:proofErr w:type="spellEnd"/>
      <w:r w:rsidRPr="00496440">
        <w:rPr>
          <w:rFonts w:asciiTheme="majorBidi" w:hAnsiTheme="majorBidi" w:cstheme="majorBidi"/>
        </w:rPr>
        <w:t xml:space="preserve"> </w:t>
      </w:r>
      <w:proofErr w:type="spellStart"/>
      <w:r w:rsidRPr="00496440">
        <w:rPr>
          <w:rFonts w:asciiTheme="majorBidi" w:hAnsiTheme="majorBidi" w:cstheme="majorBidi"/>
        </w:rPr>
        <w:t>Iver</w:t>
      </w:r>
      <w:proofErr w:type="spellEnd"/>
      <w:r w:rsidRPr="00496440">
        <w:rPr>
          <w:rFonts w:asciiTheme="majorBidi" w:hAnsiTheme="majorBidi" w:cstheme="majorBidi"/>
        </w:rPr>
        <w:t xml:space="preserve"> even if he is not obligated in the sin he is causing. However, some </w:t>
      </w:r>
      <w:proofErr w:type="spellStart"/>
      <w:r w:rsidRPr="00496440">
        <w:rPr>
          <w:rFonts w:asciiTheme="majorBidi" w:hAnsiTheme="majorBidi" w:cstheme="majorBidi"/>
        </w:rPr>
        <w:t>Achronim</w:t>
      </w:r>
      <w:proofErr w:type="spellEnd"/>
      <w:r w:rsidRPr="00496440">
        <w:rPr>
          <w:rFonts w:asciiTheme="majorBidi" w:hAnsiTheme="majorBidi" w:cstheme="majorBidi"/>
        </w:rPr>
        <w:t xml:space="preserve"> challenge this.  </w:t>
      </w:r>
    </w:p>
    <w:p w14:paraId="4F553FA0" w14:textId="3E9C6CA1" w:rsidR="001E66F9" w:rsidRPr="00496440" w:rsidRDefault="001E66F9" w:rsidP="001E66F9">
      <w:pPr>
        <w:pStyle w:val="NoSpacing"/>
        <w:numPr>
          <w:ilvl w:val="1"/>
          <w:numId w:val="2"/>
        </w:numPr>
        <w:rPr>
          <w:rFonts w:asciiTheme="majorBidi" w:hAnsiTheme="majorBidi" w:cstheme="majorBidi"/>
        </w:rPr>
      </w:pPr>
      <w:r w:rsidRPr="00496440">
        <w:rPr>
          <w:rFonts w:asciiTheme="majorBidi" w:hAnsiTheme="majorBidi" w:cstheme="majorBidi"/>
        </w:rPr>
        <w:t>Why would they do this conceptually?</w:t>
      </w:r>
    </w:p>
    <w:p w14:paraId="1200397A" w14:textId="2D4AE0BF" w:rsidR="001E66F9" w:rsidRPr="00496440" w:rsidRDefault="001E66F9" w:rsidP="001E66F9">
      <w:pPr>
        <w:pStyle w:val="NoSpacing"/>
        <w:numPr>
          <w:ilvl w:val="1"/>
          <w:numId w:val="2"/>
        </w:numPr>
        <w:rPr>
          <w:rFonts w:asciiTheme="majorBidi" w:hAnsiTheme="majorBidi" w:cstheme="majorBidi"/>
        </w:rPr>
      </w:pPr>
      <w:r w:rsidRPr="00496440">
        <w:rPr>
          <w:rFonts w:asciiTheme="majorBidi" w:hAnsiTheme="majorBidi" w:cstheme="majorBidi"/>
        </w:rPr>
        <w:t>How do they defend this textually?</w:t>
      </w:r>
    </w:p>
    <w:p w14:paraId="48559BA5" w14:textId="77777777" w:rsidR="003B1740" w:rsidRPr="00496440" w:rsidRDefault="003B1740" w:rsidP="001E66F9">
      <w:pPr>
        <w:pStyle w:val="NoSpacing"/>
        <w:bidi/>
        <w:rPr>
          <w:rFonts w:asciiTheme="majorBidi" w:hAnsiTheme="majorBidi" w:cstheme="majorBidi"/>
        </w:rPr>
      </w:pPr>
    </w:p>
    <w:p w14:paraId="31817112" w14:textId="01FEC5D3" w:rsidR="001E66F9" w:rsidRPr="00496440" w:rsidRDefault="001E66F9" w:rsidP="003B1740">
      <w:pPr>
        <w:pStyle w:val="NoSpacing"/>
        <w:numPr>
          <w:ilvl w:val="0"/>
          <w:numId w:val="3"/>
        </w:numPr>
        <w:bidi/>
        <w:rPr>
          <w:rFonts w:asciiTheme="majorBidi" w:hAnsiTheme="majorBidi" w:cstheme="majorBidi"/>
          <w:b/>
          <w:bCs/>
        </w:rPr>
      </w:pPr>
      <w:r w:rsidRPr="00496440">
        <w:rPr>
          <w:rFonts w:asciiTheme="majorBidi" w:hAnsiTheme="majorBidi" w:cstheme="majorBidi"/>
          <w:b/>
          <w:bCs/>
          <w:rtl/>
        </w:rPr>
        <w:t>שו"ת אמונת שמואל סימן יד</w:t>
      </w:r>
      <w:r w:rsidRPr="00496440">
        <w:rPr>
          <w:rFonts w:asciiTheme="majorBidi" w:hAnsiTheme="majorBidi" w:cstheme="majorBidi"/>
          <w:b/>
          <w:bCs/>
        </w:rPr>
        <w:t xml:space="preserve"> </w:t>
      </w:r>
    </w:p>
    <w:p w14:paraId="6B3C5C66" w14:textId="4DDB7B1B" w:rsidR="001E66F9" w:rsidRPr="00496440" w:rsidRDefault="001E66F9" w:rsidP="001E66F9">
      <w:pPr>
        <w:pStyle w:val="NoSpacing"/>
        <w:bidi/>
        <w:rPr>
          <w:rFonts w:asciiTheme="majorBidi" w:hAnsiTheme="majorBidi" w:cstheme="majorBidi"/>
          <w:rtl/>
        </w:rPr>
      </w:pPr>
      <w:r w:rsidRPr="00496440">
        <w:rPr>
          <w:rFonts w:asciiTheme="majorBidi" w:hAnsiTheme="majorBidi" w:cstheme="majorBidi"/>
          <w:rtl/>
        </w:rPr>
        <w:t>יש להקל מאחר דעכשיו כשאני מוכרו או נותנו להגוי לית עלה שום איסור אמ"ה אלא אח"כ כשתמות או ינחור יעשה ניפול וכמש"ל ולדידי' שרי' אפשר דל"ד למושיט כוס יין לנזיר אף דלדידי' שרי' מ"מ התורה אסרו עליו כשיהי' נזיר אבל באיסור דשרי לדידי' ואינו אסור אלא לב"נ שרי' לאשוטי ולא אמרי' בזה לפני עור לא תתן מכשול</w:t>
      </w:r>
    </w:p>
    <w:p w14:paraId="19EF40E0" w14:textId="77777777" w:rsidR="00CD7010" w:rsidRPr="00496440" w:rsidRDefault="00CD7010" w:rsidP="00CD7010">
      <w:pPr>
        <w:pStyle w:val="NoSpacing"/>
        <w:bidi/>
        <w:jc w:val="right"/>
        <w:rPr>
          <w:rFonts w:asciiTheme="majorBidi" w:hAnsiTheme="majorBidi" w:cstheme="majorBidi"/>
          <w:rtl/>
        </w:rPr>
      </w:pPr>
    </w:p>
    <w:p w14:paraId="1E8E33CE" w14:textId="13591D03" w:rsidR="00EC334E" w:rsidRPr="00496440" w:rsidRDefault="008362C5" w:rsidP="00EC334E">
      <w:pPr>
        <w:pStyle w:val="ListParagraph"/>
        <w:numPr>
          <w:ilvl w:val="0"/>
          <w:numId w:val="2"/>
        </w:numPr>
        <w:rPr>
          <w:rFonts w:asciiTheme="majorBidi" w:hAnsiTheme="majorBidi" w:cstheme="majorBidi"/>
          <w:b/>
          <w:bCs/>
        </w:rPr>
      </w:pPr>
      <w:r w:rsidRPr="00496440">
        <w:rPr>
          <w:rFonts w:asciiTheme="majorBidi" w:hAnsiTheme="majorBidi" w:cstheme="majorBidi"/>
          <w:b/>
          <w:bCs/>
        </w:rPr>
        <w:t xml:space="preserve">Do you violate </w:t>
      </w:r>
      <w:proofErr w:type="spellStart"/>
      <w:r w:rsidRPr="00496440">
        <w:rPr>
          <w:rFonts w:asciiTheme="majorBidi" w:hAnsiTheme="majorBidi" w:cstheme="majorBidi"/>
          <w:b/>
          <w:bCs/>
        </w:rPr>
        <w:t>Lifnei</w:t>
      </w:r>
      <w:proofErr w:type="spellEnd"/>
      <w:r w:rsidRPr="00496440">
        <w:rPr>
          <w:rFonts w:asciiTheme="majorBidi" w:hAnsiTheme="majorBidi" w:cstheme="majorBidi"/>
          <w:b/>
          <w:bCs/>
        </w:rPr>
        <w:t xml:space="preserve"> </w:t>
      </w:r>
      <w:proofErr w:type="spellStart"/>
      <w:r w:rsidRPr="00496440">
        <w:rPr>
          <w:rFonts w:asciiTheme="majorBidi" w:hAnsiTheme="majorBidi" w:cstheme="majorBidi"/>
          <w:b/>
          <w:bCs/>
        </w:rPr>
        <w:t>Iver</w:t>
      </w:r>
      <w:proofErr w:type="spellEnd"/>
      <w:r w:rsidRPr="00496440">
        <w:rPr>
          <w:rFonts w:asciiTheme="majorBidi" w:hAnsiTheme="majorBidi" w:cstheme="majorBidi"/>
          <w:b/>
          <w:bCs/>
        </w:rPr>
        <w:t xml:space="preserve"> if the person does not end up violating?</w:t>
      </w:r>
    </w:p>
    <w:p w14:paraId="35511403" w14:textId="41FDD8ED" w:rsidR="008362C5" w:rsidRPr="00496440" w:rsidRDefault="008362C5" w:rsidP="008362C5">
      <w:pPr>
        <w:pStyle w:val="ListParagraph"/>
        <w:numPr>
          <w:ilvl w:val="1"/>
          <w:numId w:val="2"/>
        </w:numPr>
        <w:rPr>
          <w:rFonts w:asciiTheme="majorBidi" w:hAnsiTheme="majorBidi" w:cstheme="majorBidi"/>
        </w:rPr>
      </w:pPr>
      <w:r w:rsidRPr="00496440">
        <w:rPr>
          <w:rFonts w:asciiTheme="majorBidi" w:hAnsiTheme="majorBidi" w:cstheme="majorBidi"/>
        </w:rPr>
        <w:t>How does this relate to the above issue?</w:t>
      </w:r>
    </w:p>
    <w:p w14:paraId="4277CF1E" w14:textId="2B51614C" w:rsidR="008362C5" w:rsidRPr="00496440" w:rsidRDefault="008362C5" w:rsidP="008362C5">
      <w:pPr>
        <w:pStyle w:val="ListParagraph"/>
        <w:numPr>
          <w:ilvl w:val="1"/>
          <w:numId w:val="2"/>
        </w:numPr>
        <w:rPr>
          <w:rFonts w:asciiTheme="majorBidi" w:hAnsiTheme="majorBidi" w:cstheme="majorBidi"/>
        </w:rPr>
      </w:pPr>
      <w:r w:rsidRPr="00496440">
        <w:rPr>
          <w:rFonts w:asciiTheme="majorBidi" w:hAnsiTheme="majorBidi" w:cstheme="majorBidi"/>
        </w:rPr>
        <w:t xml:space="preserve">How does this shed light on the relationship between </w:t>
      </w:r>
      <w:proofErr w:type="spellStart"/>
      <w:r w:rsidRPr="00496440">
        <w:rPr>
          <w:rFonts w:asciiTheme="majorBidi" w:hAnsiTheme="majorBidi" w:cstheme="majorBidi"/>
        </w:rPr>
        <w:t>Lifnei</w:t>
      </w:r>
      <w:proofErr w:type="spellEnd"/>
      <w:r w:rsidRPr="00496440">
        <w:rPr>
          <w:rFonts w:asciiTheme="majorBidi" w:hAnsiTheme="majorBidi" w:cstheme="majorBidi"/>
        </w:rPr>
        <w:t xml:space="preserve"> </w:t>
      </w:r>
      <w:proofErr w:type="spellStart"/>
      <w:r w:rsidRPr="00496440">
        <w:rPr>
          <w:rFonts w:asciiTheme="majorBidi" w:hAnsiTheme="majorBidi" w:cstheme="majorBidi"/>
        </w:rPr>
        <w:t>Iver</w:t>
      </w:r>
      <w:proofErr w:type="spellEnd"/>
      <w:r w:rsidRPr="00496440">
        <w:rPr>
          <w:rFonts w:asciiTheme="majorBidi" w:hAnsiTheme="majorBidi" w:cstheme="majorBidi"/>
        </w:rPr>
        <w:t xml:space="preserve"> of violating prohibitions and that of giving bad advice?</w:t>
      </w:r>
    </w:p>
    <w:p w14:paraId="6C0E7B32" w14:textId="733A6CB2" w:rsidR="008362C5" w:rsidRPr="00496440" w:rsidRDefault="008A7FF4" w:rsidP="008362C5">
      <w:pPr>
        <w:pStyle w:val="ListParagraph"/>
        <w:numPr>
          <w:ilvl w:val="1"/>
          <w:numId w:val="2"/>
        </w:numPr>
        <w:rPr>
          <w:rFonts w:asciiTheme="majorBidi" w:hAnsiTheme="majorBidi" w:cstheme="majorBidi"/>
        </w:rPr>
      </w:pPr>
      <w:r w:rsidRPr="00496440">
        <w:rPr>
          <w:rFonts w:asciiTheme="majorBidi" w:hAnsiTheme="majorBidi" w:cstheme="majorBidi"/>
        </w:rPr>
        <w:t xml:space="preserve">In halacha, there is a category of prohibitions known as </w:t>
      </w:r>
      <w:r w:rsidRPr="00496440">
        <w:rPr>
          <w:rFonts w:asciiTheme="majorBidi" w:hAnsiTheme="majorBidi" w:cstheme="majorBidi"/>
          <w:rtl/>
        </w:rPr>
        <w:t>לאו שאין בו מעשה</w:t>
      </w:r>
      <w:r w:rsidRPr="00496440">
        <w:rPr>
          <w:rFonts w:asciiTheme="majorBidi" w:hAnsiTheme="majorBidi" w:cstheme="majorBidi"/>
        </w:rPr>
        <w:t>- prohibitions without action.  Would you categorize a successful incitement to perform a sin as a prohibition with or without an action?  What does it depend on?</w:t>
      </w:r>
    </w:p>
    <w:p w14:paraId="2368CBB9" w14:textId="3897D28B" w:rsidR="00DE0B03" w:rsidRPr="00496440" w:rsidRDefault="00DE0B03" w:rsidP="008362C5">
      <w:pPr>
        <w:pStyle w:val="ListParagraph"/>
        <w:numPr>
          <w:ilvl w:val="1"/>
          <w:numId w:val="2"/>
        </w:numPr>
        <w:rPr>
          <w:rFonts w:asciiTheme="majorBidi" w:hAnsiTheme="majorBidi" w:cstheme="majorBidi"/>
        </w:rPr>
      </w:pPr>
      <w:r w:rsidRPr="00496440">
        <w:rPr>
          <w:rFonts w:asciiTheme="majorBidi" w:hAnsiTheme="majorBidi" w:cstheme="majorBidi"/>
        </w:rPr>
        <w:t>See R. Asher Weiss’s summary</w:t>
      </w:r>
    </w:p>
    <w:p w14:paraId="3374F484" w14:textId="21347FA3" w:rsidR="00DE0B03" w:rsidRPr="00496440" w:rsidRDefault="00DE0B03" w:rsidP="00DE0B03">
      <w:pPr>
        <w:jc w:val="center"/>
        <w:rPr>
          <w:rFonts w:asciiTheme="majorBidi" w:hAnsiTheme="majorBidi" w:cstheme="majorBidi"/>
        </w:rPr>
      </w:pPr>
      <w:r w:rsidRPr="00496440">
        <w:rPr>
          <w:rFonts w:asciiTheme="majorBidi" w:hAnsiTheme="majorBidi" w:cstheme="majorBidi"/>
          <w:noProof/>
        </w:rPr>
        <w:drawing>
          <wp:inline distT="0" distB="0" distL="0" distR="0" wp14:anchorId="761157B2" wp14:editId="70384CEE">
            <wp:extent cx="4391025" cy="472035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9757" cy="4729739"/>
                    </a:xfrm>
                    <a:prstGeom prst="rect">
                      <a:avLst/>
                    </a:prstGeom>
                  </pic:spPr>
                </pic:pic>
              </a:graphicData>
            </a:graphic>
          </wp:inline>
        </w:drawing>
      </w:r>
    </w:p>
    <w:p w14:paraId="70C73103" w14:textId="77777777" w:rsidR="008A7FF4" w:rsidRPr="00496440" w:rsidRDefault="008A7FF4" w:rsidP="008A7FF4">
      <w:pPr>
        <w:pStyle w:val="ListParagraph"/>
        <w:ind w:left="1440"/>
        <w:rPr>
          <w:rFonts w:asciiTheme="majorBidi" w:hAnsiTheme="majorBidi" w:cstheme="majorBidi"/>
        </w:rPr>
      </w:pPr>
    </w:p>
    <w:p w14:paraId="3D9DFC46" w14:textId="109E7691" w:rsidR="008A7FF4" w:rsidRPr="00496440" w:rsidRDefault="008A7FF4" w:rsidP="008A7FF4">
      <w:pPr>
        <w:pStyle w:val="ListParagraph"/>
        <w:numPr>
          <w:ilvl w:val="0"/>
          <w:numId w:val="2"/>
        </w:numPr>
        <w:rPr>
          <w:rFonts w:asciiTheme="majorBidi" w:hAnsiTheme="majorBidi" w:cstheme="majorBidi"/>
          <w:b/>
          <w:bCs/>
        </w:rPr>
      </w:pPr>
      <w:proofErr w:type="spellStart"/>
      <w:r w:rsidRPr="00496440">
        <w:rPr>
          <w:rFonts w:asciiTheme="majorBidi" w:hAnsiTheme="majorBidi" w:cstheme="majorBidi"/>
          <w:b/>
          <w:bCs/>
        </w:rPr>
        <w:t>Lifnei</w:t>
      </w:r>
      <w:proofErr w:type="spellEnd"/>
      <w:r w:rsidRPr="00496440">
        <w:rPr>
          <w:rFonts w:asciiTheme="majorBidi" w:hAnsiTheme="majorBidi" w:cstheme="majorBidi"/>
          <w:b/>
          <w:bCs/>
        </w:rPr>
        <w:t xml:space="preserve"> </w:t>
      </w:r>
      <w:proofErr w:type="spellStart"/>
      <w:r w:rsidRPr="00496440">
        <w:rPr>
          <w:rFonts w:asciiTheme="majorBidi" w:hAnsiTheme="majorBidi" w:cstheme="majorBidi"/>
          <w:b/>
          <w:bCs/>
        </w:rPr>
        <w:t>Iver</w:t>
      </w:r>
      <w:proofErr w:type="spellEnd"/>
      <w:r w:rsidRPr="00496440">
        <w:rPr>
          <w:rFonts w:asciiTheme="majorBidi" w:hAnsiTheme="majorBidi" w:cstheme="majorBidi"/>
          <w:b/>
          <w:bCs/>
        </w:rPr>
        <w:t xml:space="preserve"> for rabbinic laws</w:t>
      </w:r>
    </w:p>
    <w:p w14:paraId="2A3747BB" w14:textId="22C241AF" w:rsidR="008A7FF4" w:rsidRPr="00496440" w:rsidRDefault="008A7FF4" w:rsidP="008A7FF4">
      <w:pPr>
        <w:pStyle w:val="ListParagraph"/>
        <w:numPr>
          <w:ilvl w:val="1"/>
          <w:numId w:val="2"/>
        </w:numPr>
        <w:rPr>
          <w:rFonts w:asciiTheme="majorBidi" w:hAnsiTheme="majorBidi" w:cstheme="majorBidi"/>
        </w:rPr>
      </w:pPr>
      <w:r w:rsidRPr="00496440">
        <w:rPr>
          <w:rFonts w:asciiTheme="majorBidi" w:hAnsiTheme="majorBidi" w:cstheme="majorBidi"/>
        </w:rPr>
        <w:t xml:space="preserve">If one incites someone to violate a rabbinic law, can be violate </w:t>
      </w:r>
      <w:proofErr w:type="spellStart"/>
      <w:r w:rsidRPr="00496440">
        <w:rPr>
          <w:rFonts w:asciiTheme="majorBidi" w:hAnsiTheme="majorBidi" w:cstheme="majorBidi"/>
        </w:rPr>
        <w:t>Lifnei</w:t>
      </w:r>
      <w:proofErr w:type="spellEnd"/>
      <w:r w:rsidRPr="00496440">
        <w:rPr>
          <w:rFonts w:asciiTheme="majorBidi" w:hAnsiTheme="majorBidi" w:cstheme="majorBidi"/>
        </w:rPr>
        <w:t xml:space="preserve"> </w:t>
      </w:r>
      <w:proofErr w:type="spellStart"/>
      <w:r w:rsidRPr="00496440">
        <w:rPr>
          <w:rFonts w:asciiTheme="majorBidi" w:hAnsiTheme="majorBidi" w:cstheme="majorBidi"/>
        </w:rPr>
        <w:t>Iver</w:t>
      </w:r>
      <w:proofErr w:type="spellEnd"/>
      <w:r w:rsidRPr="00496440">
        <w:rPr>
          <w:rFonts w:asciiTheme="majorBidi" w:hAnsiTheme="majorBidi" w:cstheme="majorBidi"/>
        </w:rPr>
        <w:t xml:space="preserve"> on a biblical level?  What does it depend on.  </w:t>
      </w:r>
    </w:p>
    <w:p w14:paraId="4815379B" w14:textId="3F225E72" w:rsidR="002C6FDD" w:rsidRPr="00496440" w:rsidRDefault="002C6FDD" w:rsidP="004120A0">
      <w:pPr>
        <w:pStyle w:val="NoSpacing"/>
        <w:numPr>
          <w:ilvl w:val="0"/>
          <w:numId w:val="3"/>
        </w:numPr>
        <w:bidi/>
        <w:rPr>
          <w:rFonts w:asciiTheme="majorBidi" w:hAnsiTheme="majorBidi" w:cstheme="majorBidi"/>
          <w:b/>
          <w:bCs/>
        </w:rPr>
      </w:pPr>
      <w:r w:rsidRPr="00496440">
        <w:rPr>
          <w:rFonts w:asciiTheme="majorBidi" w:hAnsiTheme="majorBidi" w:cstheme="majorBidi"/>
          <w:b/>
          <w:bCs/>
          <w:rtl/>
        </w:rPr>
        <w:t>שו"ת אחיעזר חלק ג סימן סה</w:t>
      </w:r>
      <w:r w:rsidRPr="00496440">
        <w:rPr>
          <w:rFonts w:asciiTheme="majorBidi" w:hAnsiTheme="majorBidi" w:cstheme="majorBidi"/>
          <w:b/>
          <w:bCs/>
        </w:rPr>
        <w:t xml:space="preserve"> </w:t>
      </w:r>
    </w:p>
    <w:p w14:paraId="115EA122" w14:textId="4021675C" w:rsidR="002C6FDD" w:rsidRPr="00496440" w:rsidRDefault="002C6FDD" w:rsidP="002C6FDD">
      <w:pPr>
        <w:pStyle w:val="NoSpacing"/>
        <w:bidi/>
        <w:rPr>
          <w:rFonts w:asciiTheme="majorBidi" w:hAnsiTheme="majorBidi" w:cstheme="majorBidi"/>
        </w:rPr>
      </w:pPr>
      <w:r w:rsidRPr="00496440">
        <w:rPr>
          <w:rFonts w:asciiTheme="majorBidi" w:hAnsiTheme="majorBidi" w:cstheme="majorBidi"/>
          <w:rtl/>
        </w:rPr>
        <w:lastRenderedPageBreak/>
        <w:t>ויש להעיר ברבית דרבנן למה שחקר בשו"ת פני יהושע דבאיסור דרבנן עובר משום לפני עור מדאורייתא דלא גרע ממשיא לו עצה שאינה הוגנת</w:t>
      </w:r>
    </w:p>
    <w:p w14:paraId="5C871334" w14:textId="77777777" w:rsidR="00464567" w:rsidRPr="00496440" w:rsidRDefault="00464567" w:rsidP="00464567">
      <w:pPr>
        <w:pStyle w:val="NoSpacing"/>
        <w:bidi/>
        <w:rPr>
          <w:rFonts w:asciiTheme="majorBidi" w:hAnsiTheme="majorBidi" w:cstheme="majorBidi"/>
        </w:rPr>
      </w:pPr>
    </w:p>
    <w:p w14:paraId="03E3B6E1" w14:textId="6C2A7369" w:rsidR="008A7FF4" w:rsidRPr="00496440" w:rsidRDefault="008A7FF4" w:rsidP="008A7FF4">
      <w:pPr>
        <w:rPr>
          <w:rFonts w:asciiTheme="majorBidi" w:hAnsiTheme="majorBidi" w:cstheme="majorBidi"/>
        </w:rPr>
      </w:pPr>
      <w:r w:rsidRPr="00496440">
        <w:rPr>
          <w:rFonts w:asciiTheme="majorBidi" w:hAnsiTheme="majorBidi" w:cstheme="majorBidi"/>
        </w:rPr>
        <w:t xml:space="preserve">For each of these questions, there are extensive discussions in </w:t>
      </w:r>
      <w:proofErr w:type="spellStart"/>
      <w:r w:rsidRPr="00496440">
        <w:rPr>
          <w:rFonts w:asciiTheme="majorBidi" w:hAnsiTheme="majorBidi" w:cstheme="majorBidi"/>
        </w:rPr>
        <w:t>Rishonim</w:t>
      </w:r>
      <w:proofErr w:type="spellEnd"/>
      <w:r w:rsidRPr="00496440">
        <w:rPr>
          <w:rFonts w:asciiTheme="majorBidi" w:hAnsiTheme="majorBidi" w:cstheme="majorBidi"/>
        </w:rPr>
        <w:t xml:space="preserve"> and </w:t>
      </w:r>
      <w:proofErr w:type="spellStart"/>
      <w:r w:rsidRPr="00496440">
        <w:rPr>
          <w:rFonts w:asciiTheme="majorBidi" w:hAnsiTheme="majorBidi" w:cstheme="majorBidi"/>
        </w:rPr>
        <w:t>Achronim</w:t>
      </w:r>
      <w:proofErr w:type="spellEnd"/>
      <w:r w:rsidRPr="00496440">
        <w:rPr>
          <w:rFonts w:asciiTheme="majorBidi" w:hAnsiTheme="majorBidi" w:cstheme="majorBidi"/>
        </w:rPr>
        <w:t xml:space="preserve">.  I have given you several passages in the </w:t>
      </w:r>
      <w:proofErr w:type="spellStart"/>
      <w:r w:rsidRPr="00496440">
        <w:rPr>
          <w:rFonts w:asciiTheme="majorBidi" w:hAnsiTheme="majorBidi" w:cstheme="majorBidi"/>
        </w:rPr>
        <w:t>Yad</w:t>
      </w:r>
      <w:proofErr w:type="spellEnd"/>
      <w:r w:rsidRPr="00496440">
        <w:rPr>
          <w:rFonts w:asciiTheme="majorBidi" w:hAnsiTheme="majorBidi" w:cstheme="majorBidi"/>
        </w:rPr>
        <w:t xml:space="preserve"> Malachi that relate to them briefly.</w:t>
      </w:r>
      <w:r w:rsidR="00795428" w:rsidRPr="00496440">
        <w:rPr>
          <w:rFonts w:asciiTheme="majorBidi" w:hAnsiTheme="majorBidi" w:cstheme="majorBidi"/>
          <w:rtl/>
        </w:rPr>
        <w:t xml:space="preserve"> </w:t>
      </w:r>
      <w:r w:rsidR="00795428" w:rsidRPr="00496440">
        <w:rPr>
          <w:rFonts w:asciiTheme="majorBidi" w:hAnsiTheme="majorBidi" w:cstheme="majorBidi"/>
        </w:rPr>
        <w:t xml:space="preserve"> The </w:t>
      </w:r>
      <w:proofErr w:type="spellStart"/>
      <w:r w:rsidR="00795428" w:rsidRPr="00496440">
        <w:rPr>
          <w:rFonts w:asciiTheme="majorBidi" w:hAnsiTheme="majorBidi" w:cstheme="majorBidi"/>
        </w:rPr>
        <w:t>Sdei</w:t>
      </w:r>
      <w:proofErr w:type="spellEnd"/>
      <w:r w:rsidR="00795428" w:rsidRPr="00496440">
        <w:rPr>
          <w:rFonts w:asciiTheme="majorBidi" w:hAnsiTheme="majorBidi" w:cstheme="majorBidi"/>
        </w:rPr>
        <w:t xml:space="preserve"> Chemed takes up many of these points as well. </w:t>
      </w:r>
      <w:r w:rsidRPr="00496440">
        <w:rPr>
          <w:rFonts w:asciiTheme="majorBidi" w:hAnsiTheme="majorBidi" w:cstheme="majorBidi"/>
        </w:rPr>
        <w:t xml:space="preserve"> </w:t>
      </w:r>
    </w:p>
    <w:p w14:paraId="051CC182" w14:textId="3BAF9CF1" w:rsidR="008A7FF4" w:rsidRPr="00496440" w:rsidRDefault="008A7FF4" w:rsidP="00464567">
      <w:pPr>
        <w:pStyle w:val="NoSpacing"/>
        <w:numPr>
          <w:ilvl w:val="0"/>
          <w:numId w:val="3"/>
        </w:numPr>
        <w:bidi/>
        <w:rPr>
          <w:rFonts w:asciiTheme="majorBidi" w:hAnsiTheme="majorBidi" w:cstheme="majorBidi"/>
          <w:b/>
          <w:bCs/>
        </w:rPr>
      </w:pPr>
      <w:r w:rsidRPr="00496440">
        <w:rPr>
          <w:rFonts w:asciiTheme="majorBidi" w:hAnsiTheme="majorBidi" w:cstheme="majorBidi"/>
          <w:b/>
          <w:bCs/>
          <w:rtl/>
        </w:rPr>
        <w:t>יד מלאכי כללי התלמוד כלל שסז</w:t>
      </w:r>
      <w:r w:rsidRPr="00496440">
        <w:rPr>
          <w:rFonts w:asciiTheme="majorBidi" w:hAnsiTheme="majorBidi" w:cstheme="majorBidi"/>
          <w:b/>
          <w:bCs/>
        </w:rPr>
        <w:t xml:space="preserve"> </w:t>
      </w:r>
    </w:p>
    <w:p w14:paraId="73683EC7" w14:textId="7E30B734" w:rsidR="008A7FF4" w:rsidRPr="00496440" w:rsidRDefault="008A7FF4" w:rsidP="008A7FF4">
      <w:pPr>
        <w:pStyle w:val="NoSpacing"/>
        <w:bidi/>
        <w:rPr>
          <w:rFonts w:asciiTheme="majorBidi" w:hAnsiTheme="majorBidi" w:cstheme="majorBidi"/>
        </w:rPr>
      </w:pPr>
      <w:r w:rsidRPr="00496440">
        <w:rPr>
          <w:rFonts w:asciiTheme="majorBidi" w:hAnsiTheme="majorBidi" w:cstheme="majorBidi"/>
          <w:rtl/>
        </w:rPr>
        <w:t>לפני עור לא תתן מכשול, דקעבר מי שמושיט כוס יין לנזיר ואבר מן החי לבני נח נסתפקו בלימוד הישיבה היכא שהנזיר לא שתה אותו כוס של יין והבן נח לא אכל אותו אבר מן החי שהושיט לו אי קעבר המושיט משום לפני עור לא תתן מכשול או לא מי נימא דכיון דלא נכשלו באיסור ע"י ההיא הושטה לא מיקרי תו מכשול או נימא כיון דסוף סוף הוא נתן המכשול לפניהם עובר בלאו דלפני עור לא תתן מכשול אף דלא נכשלו בו, והנה באמת ובתמים מכח הסברא אמרתי דמ"מ קעבר המושיט אף שלא באו על ידו לידי מכשול כיון דאנתינה קפיד רחמנא והרי נתן</w:t>
      </w:r>
      <w:r w:rsidRPr="00496440">
        <w:rPr>
          <w:rFonts w:asciiTheme="majorBidi" w:hAnsiTheme="majorBidi" w:cstheme="majorBidi"/>
        </w:rPr>
        <w:t>,</w:t>
      </w:r>
    </w:p>
    <w:p w14:paraId="2DF14D70" w14:textId="77777777" w:rsidR="008A7FF4" w:rsidRPr="00496440" w:rsidRDefault="008A7FF4" w:rsidP="008A7FF4">
      <w:pPr>
        <w:pStyle w:val="NoSpacing"/>
        <w:bidi/>
        <w:rPr>
          <w:rFonts w:asciiTheme="majorBidi" w:hAnsiTheme="majorBidi" w:cstheme="majorBidi"/>
        </w:rPr>
      </w:pPr>
    </w:p>
    <w:p w14:paraId="7F1A04EB" w14:textId="77777777" w:rsidR="00EC334E" w:rsidRPr="00496440" w:rsidRDefault="00EC334E" w:rsidP="00464567">
      <w:pPr>
        <w:pStyle w:val="NoSpacing"/>
        <w:numPr>
          <w:ilvl w:val="0"/>
          <w:numId w:val="3"/>
        </w:numPr>
        <w:bidi/>
        <w:rPr>
          <w:rFonts w:asciiTheme="majorBidi" w:hAnsiTheme="majorBidi" w:cstheme="majorBidi"/>
          <w:b/>
          <w:bCs/>
        </w:rPr>
      </w:pPr>
      <w:r w:rsidRPr="00496440">
        <w:rPr>
          <w:rFonts w:asciiTheme="majorBidi" w:hAnsiTheme="majorBidi" w:cstheme="majorBidi"/>
          <w:b/>
          <w:bCs/>
          <w:rtl/>
        </w:rPr>
        <w:t>יד מלאכי כללי התלמוד כלל שסד</w:t>
      </w:r>
      <w:r w:rsidRPr="00496440">
        <w:rPr>
          <w:rFonts w:asciiTheme="majorBidi" w:hAnsiTheme="majorBidi" w:cstheme="majorBidi"/>
          <w:b/>
          <w:bCs/>
        </w:rPr>
        <w:t xml:space="preserve"> </w:t>
      </w:r>
    </w:p>
    <w:p w14:paraId="1AD91715" w14:textId="720E687E" w:rsidR="00C950DD" w:rsidRPr="00496440" w:rsidRDefault="00EC334E" w:rsidP="008A7FF4">
      <w:pPr>
        <w:pStyle w:val="NoSpacing"/>
        <w:bidi/>
        <w:rPr>
          <w:rFonts w:asciiTheme="majorBidi" w:hAnsiTheme="majorBidi" w:cstheme="majorBidi"/>
        </w:rPr>
      </w:pPr>
      <w:r w:rsidRPr="00496440">
        <w:rPr>
          <w:rFonts w:asciiTheme="majorBidi" w:hAnsiTheme="majorBidi" w:cstheme="majorBidi"/>
          <w:rtl/>
        </w:rPr>
        <w:t>לפני עור לא תתן מכשול, שייך לאומרו אף במידי דלית ביה איסורא רק מדרבנן כ"כ התוספות סוף פרק קמא דע"ז [דף] כ"ב א' ד"ה תיפוק ליה וכן כתב הכנסת הגדולה בי"ד סי' נ"ה הגהות הב"י אות פ"ט לדעת הרשב"א והר"ן וכן כתב מוהר"ר שמואל קלעי בשו"ת משפטי שמואל סוף סי' קל"ד וכתב שהוא מוכרח מכמה דוכתי וכן כתב עוד בעל דרך הקדש הנזכר שם ובחוות יאיר סי' קפ"ה, ודין גרמא לי תמיהא על הרדב"ז ז"ל שכתב בח"ב קובץ ג' סי' רט"ו מלשונות הרמב"ם דלא אמרינן כן אלא באיסורי תורה אך באיסורי דרבנן דווקא רב עיליש דגברא רבה הוא מזדהר בהכי דליתא</w:t>
      </w:r>
      <w:r w:rsidRPr="00496440">
        <w:rPr>
          <w:rFonts w:asciiTheme="majorBidi" w:hAnsiTheme="majorBidi" w:cstheme="majorBidi"/>
        </w:rPr>
        <w:t>:</w:t>
      </w:r>
    </w:p>
    <w:p w14:paraId="2DCB9539" w14:textId="76287176" w:rsidR="008362C5" w:rsidRPr="00496440" w:rsidRDefault="008362C5" w:rsidP="008A7FF4">
      <w:pPr>
        <w:pStyle w:val="NoSpacing"/>
        <w:bidi/>
        <w:rPr>
          <w:rFonts w:asciiTheme="majorBidi" w:hAnsiTheme="majorBidi" w:cstheme="majorBidi"/>
        </w:rPr>
      </w:pPr>
    </w:p>
    <w:p w14:paraId="241E0BEA" w14:textId="77777777" w:rsidR="008362C5" w:rsidRPr="00496440" w:rsidRDefault="008362C5" w:rsidP="00464567">
      <w:pPr>
        <w:pStyle w:val="NoSpacing"/>
        <w:numPr>
          <w:ilvl w:val="0"/>
          <w:numId w:val="3"/>
        </w:numPr>
        <w:bidi/>
        <w:rPr>
          <w:rFonts w:asciiTheme="majorBidi" w:hAnsiTheme="majorBidi" w:cstheme="majorBidi"/>
          <w:b/>
          <w:bCs/>
        </w:rPr>
      </w:pPr>
      <w:r w:rsidRPr="00496440">
        <w:rPr>
          <w:rFonts w:asciiTheme="majorBidi" w:hAnsiTheme="majorBidi" w:cstheme="majorBidi"/>
          <w:b/>
          <w:bCs/>
          <w:rtl/>
        </w:rPr>
        <w:t>יד מלאכי כללי התלמוד כלל שסה</w:t>
      </w:r>
      <w:r w:rsidRPr="00496440">
        <w:rPr>
          <w:rFonts w:asciiTheme="majorBidi" w:hAnsiTheme="majorBidi" w:cstheme="majorBidi"/>
          <w:b/>
          <w:bCs/>
        </w:rPr>
        <w:t xml:space="preserve"> </w:t>
      </w:r>
    </w:p>
    <w:p w14:paraId="0895C032" w14:textId="546D89BE" w:rsidR="008362C5" w:rsidRPr="00496440" w:rsidRDefault="008362C5" w:rsidP="008A7FF4">
      <w:pPr>
        <w:pStyle w:val="NoSpacing"/>
        <w:bidi/>
        <w:rPr>
          <w:rFonts w:asciiTheme="majorBidi" w:hAnsiTheme="majorBidi" w:cstheme="majorBidi"/>
        </w:rPr>
      </w:pPr>
      <w:r w:rsidRPr="00496440">
        <w:rPr>
          <w:rFonts w:asciiTheme="majorBidi" w:hAnsiTheme="majorBidi" w:cstheme="majorBidi"/>
          <w:rtl/>
        </w:rPr>
        <w:t>ואף על פי שהאמירה עצמה לא הוא גוף האיסור מ"מ מאחר שאי אפשר שיעשה המלאכה בעל כרחו אלא ע"י האמירה חשיבא כגוף האיסור ואסור אליבא דכ"ע, משפטי שמואל סי' קל"ד</w:t>
      </w:r>
      <w:r w:rsidRPr="00496440">
        <w:rPr>
          <w:rFonts w:asciiTheme="majorBidi" w:hAnsiTheme="majorBidi" w:cstheme="majorBidi"/>
        </w:rPr>
        <w:t>:</w:t>
      </w:r>
    </w:p>
    <w:p w14:paraId="094A298D" w14:textId="7EBC54B8" w:rsidR="009D1D9E" w:rsidRPr="00496440" w:rsidRDefault="009D1D9E" w:rsidP="009D1D9E">
      <w:pPr>
        <w:pStyle w:val="NoSpacing"/>
        <w:bidi/>
        <w:rPr>
          <w:rFonts w:asciiTheme="majorBidi" w:hAnsiTheme="majorBidi" w:cstheme="majorBidi"/>
        </w:rPr>
      </w:pPr>
    </w:p>
    <w:p w14:paraId="1A0B2463" w14:textId="03C463E8" w:rsidR="00DE1682" w:rsidRPr="00496440" w:rsidRDefault="00DE1682" w:rsidP="00DE1682">
      <w:pPr>
        <w:pStyle w:val="NoSpacing"/>
        <w:numPr>
          <w:ilvl w:val="0"/>
          <w:numId w:val="2"/>
        </w:numPr>
        <w:rPr>
          <w:rFonts w:asciiTheme="majorBidi" w:hAnsiTheme="majorBidi" w:cstheme="majorBidi"/>
          <w:b/>
          <w:bCs/>
        </w:rPr>
      </w:pPr>
      <w:r w:rsidRPr="00496440">
        <w:rPr>
          <w:rFonts w:asciiTheme="majorBidi" w:hAnsiTheme="majorBidi" w:cstheme="majorBidi"/>
          <w:b/>
          <w:bCs/>
        </w:rPr>
        <w:t xml:space="preserve">Two Kinds of </w:t>
      </w:r>
      <w:proofErr w:type="spellStart"/>
      <w:r w:rsidRPr="00496440">
        <w:rPr>
          <w:rFonts w:asciiTheme="majorBidi" w:hAnsiTheme="majorBidi" w:cstheme="majorBidi"/>
          <w:b/>
          <w:bCs/>
        </w:rPr>
        <w:t>Lifnei</w:t>
      </w:r>
      <w:proofErr w:type="spellEnd"/>
      <w:r w:rsidRPr="00496440">
        <w:rPr>
          <w:rFonts w:asciiTheme="majorBidi" w:hAnsiTheme="majorBidi" w:cstheme="majorBidi"/>
          <w:b/>
          <w:bCs/>
        </w:rPr>
        <w:t xml:space="preserve"> </w:t>
      </w:r>
      <w:proofErr w:type="spellStart"/>
      <w:r w:rsidRPr="00496440">
        <w:rPr>
          <w:rFonts w:asciiTheme="majorBidi" w:hAnsiTheme="majorBidi" w:cstheme="majorBidi"/>
          <w:b/>
          <w:bCs/>
        </w:rPr>
        <w:t>Iver</w:t>
      </w:r>
      <w:proofErr w:type="spellEnd"/>
      <w:r w:rsidRPr="00496440">
        <w:rPr>
          <w:rFonts w:asciiTheme="majorBidi" w:hAnsiTheme="majorBidi" w:cstheme="majorBidi"/>
          <w:b/>
          <w:bCs/>
        </w:rPr>
        <w:t>?</w:t>
      </w:r>
    </w:p>
    <w:p w14:paraId="20395FC6" w14:textId="5169F287" w:rsidR="00DE1682" w:rsidRPr="00496440" w:rsidRDefault="00DE1682" w:rsidP="00DE1682">
      <w:pPr>
        <w:pStyle w:val="NoSpacing"/>
        <w:numPr>
          <w:ilvl w:val="1"/>
          <w:numId w:val="2"/>
        </w:numPr>
        <w:rPr>
          <w:rFonts w:asciiTheme="majorBidi" w:hAnsiTheme="majorBidi" w:cstheme="majorBidi"/>
        </w:rPr>
      </w:pPr>
      <w:r w:rsidRPr="00496440">
        <w:rPr>
          <w:rFonts w:asciiTheme="majorBidi" w:hAnsiTheme="majorBidi" w:cstheme="majorBidi"/>
        </w:rPr>
        <w:t xml:space="preserve">How does each of the approaches to </w:t>
      </w:r>
      <w:proofErr w:type="spellStart"/>
      <w:r w:rsidRPr="00496440">
        <w:rPr>
          <w:rFonts w:asciiTheme="majorBidi" w:hAnsiTheme="majorBidi" w:cstheme="majorBidi"/>
        </w:rPr>
        <w:t>Lifnei</w:t>
      </w:r>
      <w:proofErr w:type="spellEnd"/>
      <w:r w:rsidRPr="00496440">
        <w:rPr>
          <w:rFonts w:asciiTheme="majorBidi" w:hAnsiTheme="majorBidi" w:cstheme="majorBidi"/>
        </w:rPr>
        <w:t xml:space="preserve"> </w:t>
      </w:r>
      <w:proofErr w:type="spellStart"/>
      <w:r w:rsidRPr="00496440">
        <w:rPr>
          <w:rFonts w:asciiTheme="majorBidi" w:hAnsiTheme="majorBidi" w:cstheme="majorBidi"/>
        </w:rPr>
        <w:t>Iver</w:t>
      </w:r>
      <w:proofErr w:type="spellEnd"/>
      <w:r w:rsidRPr="00496440">
        <w:rPr>
          <w:rFonts w:asciiTheme="majorBidi" w:hAnsiTheme="majorBidi" w:cstheme="majorBidi"/>
        </w:rPr>
        <w:t xml:space="preserve"> of sins relate to the level o</w:t>
      </w:r>
      <w:r w:rsidR="00EC7DA7" w:rsidRPr="00496440">
        <w:rPr>
          <w:rFonts w:asciiTheme="majorBidi" w:hAnsiTheme="majorBidi" w:cstheme="majorBidi"/>
        </w:rPr>
        <w:t xml:space="preserve">f “bad advice”?  </w:t>
      </w:r>
    </w:p>
    <w:p w14:paraId="688A01A7" w14:textId="4AAAF154" w:rsidR="00EC7DA7" w:rsidRPr="00496440" w:rsidRDefault="00EC7DA7" w:rsidP="00DE1682">
      <w:pPr>
        <w:pStyle w:val="NoSpacing"/>
        <w:numPr>
          <w:ilvl w:val="1"/>
          <w:numId w:val="2"/>
        </w:numPr>
        <w:rPr>
          <w:rFonts w:asciiTheme="majorBidi" w:hAnsiTheme="majorBidi" w:cstheme="majorBidi"/>
        </w:rPr>
      </w:pPr>
      <w:r w:rsidRPr="00496440">
        <w:rPr>
          <w:rFonts w:asciiTheme="majorBidi" w:hAnsiTheme="majorBidi" w:cstheme="majorBidi"/>
        </w:rPr>
        <w:t xml:space="preserve">The problem connecting them led many </w:t>
      </w:r>
      <w:proofErr w:type="spellStart"/>
      <w:r w:rsidRPr="00496440">
        <w:rPr>
          <w:rFonts w:asciiTheme="majorBidi" w:hAnsiTheme="majorBidi" w:cstheme="majorBidi"/>
        </w:rPr>
        <w:t>Achronim</w:t>
      </w:r>
      <w:proofErr w:type="spellEnd"/>
      <w:r w:rsidRPr="00496440">
        <w:rPr>
          <w:rFonts w:asciiTheme="majorBidi" w:hAnsiTheme="majorBidi" w:cstheme="majorBidi"/>
        </w:rPr>
        <w:t xml:space="preserve"> to contend that there are two different natures to the sin.  What are they?</w:t>
      </w:r>
    </w:p>
    <w:p w14:paraId="1AF8FA49" w14:textId="793E6211" w:rsidR="0021559A" w:rsidRPr="00496440" w:rsidRDefault="0021559A" w:rsidP="00DE1682">
      <w:pPr>
        <w:pStyle w:val="NoSpacing"/>
        <w:numPr>
          <w:ilvl w:val="1"/>
          <w:numId w:val="2"/>
        </w:numPr>
        <w:rPr>
          <w:rFonts w:asciiTheme="majorBidi" w:hAnsiTheme="majorBidi" w:cstheme="majorBidi"/>
        </w:rPr>
      </w:pPr>
      <w:r w:rsidRPr="00496440">
        <w:rPr>
          <w:rFonts w:asciiTheme="majorBidi" w:hAnsiTheme="majorBidi" w:cstheme="majorBidi"/>
        </w:rPr>
        <w:t xml:space="preserve">How do they relate to the </w:t>
      </w:r>
      <w:proofErr w:type="spellStart"/>
      <w:r w:rsidRPr="00496440">
        <w:rPr>
          <w:rFonts w:asciiTheme="majorBidi" w:hAnsiTheme="majorBidi" w:cstheme="majorBidi"/>
        </w:rPr>
        <w:t>pesukim</w:t>
      </w:r>
      <w:proofErr w:type="spellEnd"/>
      <w:r w:rsidRPr="00496440">
        <w:rPr>
          <w:rFonts w:asciiTheme="majorBidi" w:hAnsiTheme="majorBidi" w:cstheme="majorBidi"/>
        </w:rPr>
        <w:t xml:space="preserve">?  </w:t>
      </w:r>
    </w:p>
    <w:p w14:paraId="37B6BF45" w14:textId="78D48AE9" w:rsidR="0098413C" w:rsidRPr="00496440" w:rsidRDefault="0098413C" w:rsidP="0098413C">
      <w:pPr>
        <w:pStyle w:val="NoSpacing"/>
        <w:rPr>
          <w:rFonts w:asciiTheme="majorBidi" w:hAnsiTheme="majorBidi" w:cstheme="majorBidi"/>
          <w:rtl/>
        </w:rPr>
      </w:pPr>
    </w:p>
    <w:p w14:paraId="5DEAD6C6" w14:textId="77777777" w:rsidR="0098413C" w:rsidRPr="00496440" w:rsidRDefault="0098413C" w:rsidP="00464567">
      <w:pPr>
        <w:pStyle w:val="NoSpacing"/>
        <w:numPr>
          <w:ilvl w:val="0"/>
          <w:numId w:val="3"/>
        </w:numPr>
        <w:bidi/>
        <w:rPr>
          <w:rFonts w:asciiTheme="majorBidi" w:hAnsiTheme="majorBidi" w:cstheme="majorBidi"/>
          <w:b/>
          <w:bCs/>
        </w:rPr>
      </w:pPr>
      <w:r w:rsidRPr="00496440">
        <w:rPr>
          <w:rFonts w:asciiTheme="majorBidi" w:hAnsiTheme="majorBidi" w:cstheme="majorBidi"/>
          <w:b/>
          <w:bCs/>
          <w:rtl/>
        </w:rPr>
        <w:t>ספר החינוך מצוה רלב</w:t>
      </w:r>
      <w:r w:rsidRPr="00496440">
        <w:rPr>
          <w:rFonts w:asciiTheme="majorBidi" w:hAnsiTheme="majorBidi" w:cstheme="majorBidi"/>
          <w:b/>
          <w:bCs/>
        </w:rPr>
        <w:t xml:space="preserve"> </w:t>
      </w:r>
    </w:p>
    <w:p w14:paraId="153E4E56" w14:textId="77777777" w:rsidR="0098413C" w:rsidRPr="00496440" w:rsidRDefault="0098413C" w:rsidP="0098413C">
      <w:pPr>
        <w:pStyle w:val="NoSpacing"/>
        <w:bidi/>
        <w:rPr>
          <w:rFonts w:asciiTheme="majorBidi" w:hAnsiTheme="majorBidi" w:cstheme="majorBidi"/>
        </w:rPr>
      </w:pPr>
      <w:r w:rsidRPr="00496440">
        <w:rPr>
          <w:rFonts w:asciiTheme="majorBidi" w:hAnsiTheme="majorBidi" w:cstheme="majorBidi"/>
          <w:rtl/>
        </w:rPr>
        <w:t>שלא להכשיל תם בדרך</w:t>
      </w:r>
      <w:r w:rsidRPr="00496440">
        <w:rPr>
          <w:rFonts w:asciiTheme="majorBidi" w:hAnsiTheme="majorBidi" w:cstheme="majorBidi"/>
        </w:rPr>
        <w:t xml:space="preserve"> </w:t>
      </w:r>
    </w:p>
    <w:p w14:paraId="0CE20C7A" w14:textId="3A690032" w:rsidR="0098413C" w:rsidRPr="00496440" w:rsidRDefault="0098413C" w:rsidP="0098413C">
      <w:pPr>
        <w:pStyle w:val="NoSpacing"/>
        <w:bidi/>
        <w:rPr>
          <w:rFonts w:asciiTheme="majorBidi" w:hAnsiTheme="majorBidi" w:cstheme="majorBidi"/>
          <w:rtl/>
        </w:rPr>
      </w:pPr>
      <w:r w:rsidRPr="00496440">
        <w:rPr>
          <w:rFonts w:asciiTheme="majorBidi" w:hAnsiTheme="majorBidi" w:cstheme="majorBidi"/>
          <w:rtl/>
        </w:rPr>
        <w:t>(א) לא להכשיל בני ישראל לתת להם עצה רעה, אבל ניישר אותם כשישאלו עצה, במה שנאמין שהוא יושר ועצה טובה, שנאמר [ויקרא י"ט, י"ד] ולפני עור לא תתן מכשול. ולשון ספרא, לפני סומא בדבר והיה נוטל ממך עצה אל תתן לו עצה שאינה הוגנת לו</w:t>
      </w:r>
      <w:r w:rsidRPr="00496440">
        <w:rPr>
          <w:rFonts w:asciiTheme="majorBidi" w:hAnsiTheme="majorBidi" w:cstheme="majorBidi"/>
        </w:rPr>
        <w:t>.</w:t>
      </w:r>
    </w:p>
    <w:p w14:paraId="69396484" w14:textId="4EA46C69" w:rsidR="0005307F" w:rsidRPr="00496440" w:rsidRDefault="0005307F" w:rsidP="0005307F">
      <w:pPr>
        <w:pStyle w:val="NoSpacing"/>
        <w:bidi/>
        <w:rPr>
          <w:rFonts w:asciiTheme="majorBidi" w:hAnsiTheme="majorBidi" w:cstheme="majorBidi"/>
          <w:rtl/>
        </w:rPr>
      </w:pPr>
    </w:p>
    <w:p w14:paraId="2D9CE431" w14:textId="77777777" w:rsidR="0005307F" w:rsidRPr="00496440" w:rsidRDefault="0005307F" w:rsidP="00FF32FA">
      <w:pPr>
        <w:pStyle w:val="NoSpacing"/>
        <w:numPr>
          <w:ilvl w:val="0"/>
          <w:numId w:val="3"/>
        </w:numPr>
        <w:bidi/>
        <w:rPr>
          <w:rFonts w:asciiTheme="majorBidi" w:hAnsiTheme="majorBidi" w:cstheme="majorBidi"/>
          <w:b/>
          <w:bCs/>
        </w:rPr>
      </w:pPr>
      <w:r w:rsidRPr="00496440">
        <w:rPr>
          <w:rFonts w:asciiTheme="majorBidi" w:hAnsiTheme="majorBidi" w:cstheme="majorBidi"/>
          <w:b/>
          <w:bCs/>
          <w:rtl/>
        </w:rPr>
        <w:t xml:space="preserve">מנחת חינוך מצוה רלב </w:t>
      </w:r>
    </w:p>
    <w:p w14:paraId="14DFCB05" w14:textId="2FF3E562" w:rsidR="0005307F" w:rsidRPr="00496440" w:rsidRDefault="0005307F" w:rsidP="0005307F">
      <w:pPr>
        <w:pStyle w:val="NoSpacing"/>
        <w:bidi/>
        <w:rPr>
          <w:rFonts w:asciiTheme="majorBidi" w:hAnsiTheme="majorBidi" w:cstheme="majorBidi"/>
          <w:rtl/>
        </w:rPr>
      </w:pPr>
      <w:r w:rsidRPr="00496440">
        <w:rPr>
          <w:rFonts w:asciiTheme="majorBidi" w:hAnsiTheme="majorBidi" w:cstheme="majorBidi"/>
          <w:rtl/>
        </w:rPr>
        <w:t>(א) שלא להכשיל כו' אבל ניישר כו'. לכאורה איני מבין כונת הרהמ"ח שכת' בני ישראל הלא גם לעכו"ם הלאו דלפ"ע כמבואר אח"ז בדבריו וש"ס מפורש הוא בע"ז וכ"מ דלא יושיט אמ"ה לב"נ</w:t>
      </w:r>
    </w:p>
    <w:p w14:paraId="26FCD154" w14:textId="77777777" w:rsidR="002C6FDD" w:rsidRPr="00496440" w:rsidRDefault="002C6FDD" w:rsidP="004451A7">
      <w:pPr>
        <w:pStyle w:val="NoSpacing"/>
        <w:bidi/>
        <w:rPr>
          <w:rFonts w:asciiTheme="majorBidi" w:hAnsiTheme="majorBidi" w:cstheme="majorBidi"/>
          <w:b/>
          <w:bCs/>
        </w:rPr>
      </w:pPr>
    </w:p>
    <w:p w14:paraId="547FFB02" w14:textId="449BC5B7" w:rsidR="004451A7" w:rsidRPr="00496440" w:rsidRDefault="004451A7" w:rsidP="00FF32FA">
      <w:pPr>
        <w:pStyle w:val="NoSpacing"/>
        <w:numPr>
          <w:ilvl w:val="0"/>
          <w:numId w:val="3"/>
        </w:numPr>
        <w:bidi/>
        <w:rPr>
          <w:rFonts w:asciiTheme="majorBidi" w:hAnsiTheme="majorBidi" w:cstheme="majorBidi"/>
        </w:rPr>
      </w:pPr>
      <w:r w:rsidRPr="00496440">
        <w:rPr>
          <w:rFonts w:asciiTheme="majorBidi" w:hAnsiTheme="majorBidi" w:cstheme="majorBidi"/>
          <w:b/>
          <w:bCs/>
          <w:rtl/>
        </w:rPr>
        <w:t>בית הבחירה למאירי מסכת עבודה זרה דף ו עמוד א</w:t>
      </w:r>
      <w:r w:rsidRPr="00496440">
        <w:rPr>
          <w:rFonts w:asciiTheme="majorBidi" w:hAnsiTheme="majorBidi" w:cstheme="majorBidi"/>
          <w:rtl/>
        </w:rPr>
        <w:t xml:space="preserve"> </w:t>
      </w:r>
    </w:p>
    <w:p w14:paraId="4CCD6992" w14:textId="41FE20CF" w:rsidR="004451A7" w:rsidRPr="00496440" w:rsidRDefault="004451A7" w:rsidP="004451A7">
      <w:pPr>
        <w:pStyle w:val="NoSpacing"/>
        <w:bidi/>
        <w:rPr>
          <w:rFonts w:asciiTheme="majorBidi" w:hAnsiTheme="majorBidi" w:cstheme="majorBidi"/>
        </w:rPr>
      </w:pPr>
      <w:r w:rsidRPr="00496440">
        <w:rPr>
          <w:rFonts w:asciiTheme="majorBidi" w:hAnsiTheme="majorBidi" w:cstheme="majorBidi"/>
          <w:rtl/>
        </w:rPr>
        <w:t>כל שהוא מותר לנו ואסור לאחר איסור הנכלל במנין שלנו מצד תורתנו כגון יין לנזיר אסור לנו ליתן לו כוס של יין לשתותו שהרי אנו עוברים בזה על לפני עור לא תתן מכשול ואין צריך לומר מה שאסור לנותן ולמקבל בשוה ואפילו לבן נח אסור להושיט לו אבר מן החי ואם עשה כן עבר משום לפני עור לא תתן מכשול וכן כל כיוצא בזה ממה שהוא מוזהר עליו בדברים האסורים לנו גם כן אבל חלב ונבלה וכיוצא בהן הואיל ואינם מוזהרים עליהם מוכרין להם אף על פי שאסורין לנו וכן מה שאסור להם מתורת נימוסיהם ואינו בכלל מצותינו מוכרין להם ובלבד בהודעה להם אבל לא בטעות כגון נבלה בחזקת שחוטה או דבר האסור להם בחזקת דבר המותר להן שהרי אסור לגנוב דעתן של בריות ואפילו דעתו של גוי:</w:t>
      </w:r>
    </w:p>
    <w:p w14:paraId="4D3D80B0" w14:textId="4B7EB176" w:rsidR="0021559A" w:rsidRPr="00496440" w:rsidRDefault="0021559A" w:rsidP="0021559A">
      <w:pPr>
        <w:pStyle w:val="NoSpacing"/>
        <w:bidi/>
        <w:rPr>
          <w:rFonts w:asciiTheme="majorBidi" w:hAnsiTheme="majorBidi" w:cstheme="majorBidi"/>
        </w:rPr>
      </w:pPr>
    </w:p>
    <w:p w14:paraId="1747DFC5" w14:textId="77777777" w:rsidR="0021559A" w:rsidRPr="00496440" w:rsidRDefault="0021559A" w:rsidP="00FF32FA">
      <w:pPr>
        <w:pStyle w:val="NoSpacing"/>
        <w:numPr>
          <w:ilvl w:val="0"/>
          <w:numId w:val="3"/>
        </w:numPr>
        <w:bidi/>
        <w:rPr>
          <w:rFonts w:asciiTheme="majorBidi" w:hAnsiTheme="majorBidi" w:cstheme="majorBidi"/>
          <w:b/>
          <w:bCs/>
        </w:rPr>
      </w:pPr>
      <w:r w:rsidRPr="00496440">
        <w:rPr>
          <w:rFonts w:asciiTheme="majorBidi" w:hAnsiTheme="majorBidi" w:cstheme="majorBidi"/>
          <w:b/>
          <w:bCs/>
          <w:rtl/>
        </w:rPr>
        <w:t xml:space="preserve">שו"ת אחיעזר חלק ג סימן סה </w:t>
      </w:r>
    </w:p>
    <w:p w14:paraId="3B60427D" w14:textId="77777777" w:rsidR="0021559A" w:rsidRPr="00496440" w:rsidRDefault="0021559A" w:rsidP="0021559A">
      <w:pPr>
        <w:pStyle w:val="NoSpacing"/>
        <w:bidi/>
        <w:rPr>
          <w:rFonts w:asciiTheme="majorBidi" w:hAnsiTheme="majorBidi" w:cstheme="majorBidi"/>
        </w:rPr>
      </w:pPr>
      <w:r w:rsidRPr="00496440">
        <w:rPr>
          <w:rFonts w:asciiTheme="majorBidi" w:hAnsiTheme="majorBidi" w:cstheme="majorBidi"/>
          <w:rtl/>
        </w:rPr>
        <w:t xml:space="preserve">ויש להעיר ברבית דרבנן למה שחקר בשו"ת פני יהושע דבאיסור דרבנן עובר משום לפני עור מדאורייתא דלא גרע ממשיא לו עצה שאינה הוגנת ואיך מותר רבית דרבנן ללות הא מכשיל את המלוה ועובר משום לפ"ע =לפני עור= מדאורייתא וכן יקשה עמש"כ בתשו' הרשב"א לחקור דחל שבועה על רבית דרבנן דהא עובר לפ"ע מדאורייתא - אולם י"ל דבלפני עור יש ב' סוגים לפ"ע כפשוטו שנותן מכשול או משיא לו עצה שאינה הוגנת, דזהו שייך רק בשוגג שאין העור יודע, והשואל עצה אינו יודע בעצמו שהעצה אינה הוגנת לו. ויש עוד סוג לפני עור באיסורים כמו מושיט לו כוס יין לנזיר דבזה גם במזיד עובר לפ"ע, אעפ"י שהנזיר יודע שהוא אסור מ"מ המכשיל עובר וזהו דין דלפ"ע מיוחד באיסורים. ועל כן אם נימא דגם בדרבנן עובר משום לפ"ע דלא גרע ממשיא לו עצה שאינה הוגנת לו היינו דוקא בשוגג, דזהו לפני עור במילי דעלמא, אבל במזיד דזהו דין מיוחד דלפ"ע באיסורים בזה אם הוא מכשיל באיסור תורה עובר משום לפ"ע מן התורה ואם הוא איסור דרבנן עובר משום לפ"ע מדרבנן. </w:t>
      </w:r>
    </w:p>
    <w:p w14:paraId="76E3788B" w14:textId="77777777" w:rsidR="0021559A" w:rsidRPr="00496440" w:rsidRDefault="0021559A" w:rsidP="0021559A">
      <w:pPr>
        <w:pStyle w:val="NoSpacing"/>
        <w:bidi/>
        <w:rPr>
          <w:rFonts w:asciiTheme="majorBidi" w:hAnsiTheme="majorBidi" w:cstheme="majorBidi"/>
        </w:rPr>
      </w:pPr>
    </w:p>
    <w:p w14:paraId="3AB3A982" w14:textId="3FCB5DE3" w:rsidR="0005307F" w:rsidRPr="00496440" w:rsidRDefault="0021559A" w:rsidP="00E44F3A">
      <w:pPr>
        <w:pStyle w:val="NoSpacing"/>
        <w:bidi/>
        <w:rPr>
          <w:rFonts w:asciiTheme="majorBidi" w:hAnsiTheme="majorBidi" w:cstheme="majorBidi"/>
        </w:rPr>
      </w:pPr>
      <w:r w:rsidRPr="00496440">
        <w:rPr>
          <w:rFonts w:asciiTheme="majorBidi" w:hAnsiTheme="majorBidi" w:cstheme="majorBidi"/>
          <w:rtl/>
        </w:rPr>
        <w:t xml:space="preserve">ואולי באיסורים הטעם דגם במזיד הוי כעור שאין אדם עובר עבירה אא"כ נכנס בו רוח שטות, ולהכי שייך לפ"ע באיסור דאורייתא ובדרבנן, מ"מ י"ל דבאיסור דרבנן הוי המכשול מדרבנן ול"ש בזה הסברא דלא גרע ממשיא לו עצה שאינה הוגנת, דענין זה לא נאמר רק על מי שאינו יודע בעצמו שהעצה אינה הוגנת לו וצ"ע +ועי' להלן בסי' פ"א אות ז'+ </w:t>
      </w:r>
    </w:p>
    <w:sectPr w:rsidR="0005307F" w:rsidRPr="00496440" w:rsidSect="008A7FF4">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2115" w14:textId="77777777" w:rsidR="00C776CB" w:rsidRDefault="00C776CB" w:rsidP="00C776CB">
      <w:pPr>
        <w:spacing w:after="0" w:line="240" w:lineRule="auto"/>
      </w:pPr>
      <w:r>
        <w:separator/>
      </w:r>
    </w:p>
  </w:endnote>
  <w:endnote w:type="continuationSeparator" w:id="0">
    <w:p w14:paraId="118F849F" w14:textId="77777777" w:rsidR="00C776CB" w:rsidRDefault="00C776CB" w:rsidP="00C7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2BB41" w14:textId="77777777" w:rsidR="00C776CB" w:rsidRDefault="00C776CB" w:rsidP="00C776CB">
      <w:pPr>
        <w:spacing w:after="0" w:line="240" w:lineRule="auto"/>
      </w:pPr>
      <w:r>
        <w:separator/>
      </w:r>
    </w:p>
  </w:footnote>
  <w:footnote w:type="continuationSeparator" w:id="0">
    <w:p w14:paraId="3E6BC563" w14:textId="77777777" w:rsidR="00C776CB" w:rsidRDefault="00C776CB" w:rsidP="00C77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4479" w14:textId="492CC91F" w:rsidR="00C776CB" w:rsidRDefault="00C776CB" w:rsidP="00997B4F">
    <w:pPr>
      <w:pStyle w:val="Header"/>
      <w:jc w:val="center"/>
    </w:pPr>
    <w:proofErr w:type="spellStart"/>
    <w:r>
      <w:t>Avodah</w:t>
    </w:r>
    <w:proofErr w:type="spellEnd"/>
    <w:r>
      <w:t xml:space="preserve"> Zara Shiur 4</w:t>
    </w:r>
    <w:r>
      <w:tab/>
      <w:t>R. Jonathan Ziring</w:t>
    </w:r>
    <w:r>
      <w:tab/>
      <w:t>jziring@migdalhatorah.org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F38C9"/>
    <w:multiLevelType w:val="hybridMultilevel"/>
    <w:tmpl w:val="F022F5B0"/>
    <w:lvl w:ilvl="0" w:tplc="9580ECD6">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8B7A2F14">
      <w:start w:val="1"/>
      <w:numFmt w:val="decimal"/>
      <w:lvlText w:val="%3."/>
      <w:lvlJc w:val="left"/>
      <w:pPr>
        <w:ind w:left="2340" w:hanging="360"/>
      </w:pPr>
      <w:rPr>
        <w:rFonts w:cs="Arial" w:hint="default"/>
      </w:rPr>
    </w:lvl>
    <w:lvl w:ilvl="3" w:tplc="1EFE5F56">
      <w:start w:val="1"/>
      <w:numFmt w:val="hebrew1"/>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E8747CF"/>
    <w:multiLevelType w:val="hybridMultilevel"/>
    <w:tmpl w:val="10F015DE"/>
    <w:lvl w:ilvl="0" w:tplc="8B7A2F14">
      <w:start w:val="1"/>
      <w:numFmt w:val="decimal"/>
      <w:lvlText w:val="%1."/>
      <w:lvlJc w:val="left"/>
      <w:pPr>
        <w:ind w:left="720" w:hanging="360"/>
      </w:pPr>
      <w:rPr>
        <w:rFonts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64725A"/>
    <w:multiLevelType w:val="hybridMultilevel"/>
    <w:tmpl w:val="00C01144"/>
    <w:lvl w:ilvl="0" w:tplc="9580ECD6">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60"/>
    <w:rsid w:val="00037A92"/>
    <w:rsid w:val="0005307F"/>
    <w:rsid w:val="000836BF"/>
    <w:rsid w:val="000B1518"/>
    <w:rsid w:val="000E2AC6"/>
    <w:rsid w:val="00127C44"/>
    <w:rsid w:val="001E66F9"/>
    <w:rsid w:val="0021559A"/>
    <w:rsid w:val="002940E3"/>
    <w:rsid w:val="002C6FDD"/>
    <w:rsid w:val="002E4F51"/>
    <w:rsid w:val="0035300E"/>
    <w:rsid w:val="003B1740"/>
    <w:rsid w:val="004120A0"/>
    <w:rsid w:val="00427E66"/>
    <w:rsid w:val="00435F67"/>
    <w:rsid w:val="004451A7"/>
    <w:rsid w:val="00464567"/>
    <w:rsid w:val="00496440"/>
    <w:rsid w:val="004D7FD7"/>
    <w:rsid w:val="0052497B"/>
    <w:rsid w:val="00585842"/>
    <w:rsid w:val="005C69BD"/>
    <w:rsid w:val="005D2700"/>
    <w:rsid w:val="0068564E"/>
    <w:rsid w:val="007066A2"/>
    <w:rsid w:val="00713C60"/>
    <w:rsid w:val="00786B40"/>
    <w:rsid w:val="00795428"/>
    <w:rsid w:val="007B6DEF"/>
    <w:rsid w:val="008362C5"/>
    <w:rsid w:val="00850871"/>
    <w:rsid w:val="008704B8"/>
    <w:rsid w:val="008A7FF4"/>
    <w:rsid w:val="008B1114"/>
    <w:rsid w:val="0098413C"/>
    <w:rsid w:val="00997B4F"/>
    <w:rsid w:val="009D1D9E"/>
    <w:rsid w:val="009F2A22"/>
    <w:rsid w:val="00AB2184"/>
    <w:rsid w:val="00AE57DE"/>
    <w:rsid w:val="00BE4147"/>
    <w:rsid w:val="00BF2418"/>
    <w:rsid w:val="00BF4535"/>
    <w:rsid w:val="00C776CB"/>
    <w:rsid w:val="00C950DD"/>
    <w:rsid w:val="00CD7010"/>
    <w:rsid w:val="00DE0B03"/>
    <w:rsid w:val="00DE1682"/>
    <w:rsid w:val="00E44F3A"/>
    <w:rsid w:val="00E46B73"/>
    <w:rsid w:val="00E95D40"/>
    <w:rsid w:val="00EC334E"/>
    <w:rsid w:val="00EC7DA7"/>
    <w:rsid w:val="00F81DA8"/>
    <w:rsid w:val="00FF32F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4932"/>
  <w15:chartTrackingRefBased/>
  <w15:docId w15:val="{80ACB8CA-A4DF-4F1E-8150-8E321E56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C60"/>
    <w:pPr>
      <w:ind w:left="720"/>
      <w:contextualSpacing/>
    </w:pPr>
  </w:style>
  <w:style w:type="paragraph" w:styleId="NoSpacing">
    <w:name w:val="No Spacing"/>
    <w:uiPriority w:val="1"/>
    <w:qFormat/>
    <w:rsid w:val="008A7FF4"/>
    <w:pPr>
      <w:spacing w:after="0" w:line="240" w:lineRule="auto"/>
    </w:pPr>
  </w:style>
  <w:style w:type="paragraph" w:styleId="Header">
    <w:name w:val="header"/>
    <w:basedOn w:val="Normal"/>
    <w:link w:val="HeaderChar"/>
    <w:uiPriority w:val="99"/>
    <w:unhideWhenUsed/>
    <w:rsid w:val="00C77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6CB"/>
  </w:style>
  <w:style w:type="paragraph" w:styleId="Footer">
    <w:name w:val="footer"/>
    <w:basedOn w:val="Normal"/>
    <w:link w:val="FooterChar"/>
    <w:uiPriority w:val="99"/>
    <w:unhideWhenUsed/>
    <w:rsid w:val="00C77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47</cp:revision>
  <dcterms:created xsi:type="dcterms:W3CDTF">2018-09-03T05:49:00Z</dcterms:created>
  <dcterms:modified xsi:type="dcterms:W3CDTF">2018-09-04T17:55:00Z</dcterms:modified>
</cp:coreProperties>
</file>