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5F10"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פרי מגדים אורח חיים פתיחות פתיחה להלכות ברכות</w:t>
      </w:r>
    </w:p>
    <w:p w14:paraId="13929E04" w14:textId="5D3EC866" w:rsidR="006126CA" w:rsidRDefault="006126CA" w:rsidP="004518CF">
      <w:pPr>
        <w:pStyle w:val="NoSpacing"/>
        <w:bidi/>
        <w:rPr>
          <w:rFonts w:cs="Arial"/>
        </w:rPr>
      </w:pPr>
      <w:r>
        <w:rPr>
          <w:rFonts w:cs="Arial"/>
          <w:rtl/>
        </w:rPr>
        <w:t>יא. כלל אמרו בברכת הנהנין דאזלינן בתר רובא, כמבואר בסימן ר"ב סעיף א' בהג"ה שאם "נתערב" כו'. והך תערובת לאו דוקא שאי אפשר להכיר, [אלא] אפילו כל אחד עומד בפני עצמו נמי בתר רוב אזלינן, דהטעם הוא הכלל כל שעיקר ועמו טפילה הולכין בתר העיקר כמו שכתב הט"ז [ס"ק] א' שם. ובסימן רי"ב סעיף א' מבואר בין טפילה מעורבת או בפני עצמה, וכן הוא לשון הר"מ ז"ל פרק ג' מהלכות ברכות הלכה ה' ו' ז', יע"ש. ומינה בפורים שמרקחין שומשמין בדבש ומערבין פתיתי אגוז, כל שרוב שומשמין בתר העיקר אזלינן ומברך פרי האדמה, כי אין זה דומה לביטול האיסורין דלא שייך רוב אלא א"כ אין ניכר, מה שאין כן בברכת הנהנין, וכדכתיבנא</w:t>
      </w:r>
    </w:p>
    <w:p w14:paraId="6861B158"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שולחן ערוך אורח חיים הלכות ברכת הפירות סימן רב סעיף ד</w:t>
      </w:r>
    </w:p>
    <w:p w14:paraId="4C9AE75E" w14:textId="78A50356" w:rsidR="006126CA" w:rsidRDefault="006126CA" w:rsidP="004518CF">
      <w:pPr>
        <w:pStyle w:val="NoSpacing"/>
        <w:bidi/>
      </w:pPr>
      <w:r>
        <w:rPr>
          <w:rFonts w:cs="Arial"/>
          <w:rtl/>
        </w:rPr>
        <w:t>ד) שמן זית, אם שתאו (כו) כמות שהוא אינו מברך עליו ו'] כלל, משום (כז) דאזוקי מזיק ליה; ואם אכלו (כח) ח ה} עם פת, אינו מברך עליה ד') יב] דפת [ח] עיקר ומברך על העיקר (כט) ופוטר את הטפילה; &lt;ב&gt; ואם שתאו מעורב (ל) עם מי סלק"א (הנקרא אניגרון), שאז אינו מזיק אדרבא הוא מועיל לגרון * אם הוא חושש בגרונו, (לא) ו} הוה ליה ט יג] שמן [ט] עיקר (לב) ומברך עליו: בפה"ע; ואם אינו מתכוין לרפואה אלא לאכילה, הוי ליה (לג) י אניגרון [י] עיקר ואינו מברך אלא על האניגרון (לד) (יא [יא] יד] שהכל</w:t>
      </w:r>
      <w:r>
        <w:t>).</w:t>
      </w:r>
    </w:p>
    <w:p w14:paraId="4DD59782"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שולחן ערוך אורח חיים הלכות ברכת הפירות סימן רב סעיף א</w:t>
      </w:r>
    </w:p>
    <w:p w14:paraId="6D7DF486" w14:textId="3910A88C" w:rsidR="006126CA" w:rsidRDefault="006126CA" w:rsidP="004518CF">
      <w:pPr>
        <w:pStyle w:val="NoSpacing"/>
        <w:bidi/>
      </w:pPr>
      <w:r>
        <w:rPr>
          <w:rFonts w:cs="Arial"/>
          <w:rtl/>
        </w:rPr>
        <w:t>הגה: ב'] ואם נתערב יין (ז) ג [ג] ד] בשכר, ב} אזלינן אחר הרוב, * (ח) ה] אם הרוב יין, (ט) מברך: בפה"ג, * (י) &lt;א&gt; ואם הרוב שכר, * מברך: שהכל (ב"י בשם התשב"ץ</w:t>
      </w:r>
      <w:r>
        <w:t>).</w:t>
      </w:r>
    </w:p>
    <w:p w14:paraId="7E960FA5"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משנה ברורה סימן רב ס"ק ח</w:t>
      </w:r>
    </w:p>
    <w:p w14:paraId="4F1ECCBD" w14:textId="6E08A477" w:rsidR="006126CA" w:rsidRDefault="006126CA" w:rsidP="004518CF">
      <w:pPr>
        <w:pStyle w:val="NoSpacing"/>
        <w:bidi/>
      </w:pPr>
      <w:r>
        <w:rPr>
          <w:rFonts w:cs="Arial"/>
          <w:rtl/>
        </w:rPr>
        <w:t>(ח) אם הרוב יין וכו' - כדקיי"ל[יא] כל שהוא עיקר ועמו טפילה מברך על העיקר ופוטר את הטפילה וכל מין שהוא הרוב הוא העיקר והמיעוט טפל הוא לו</w:t>
      </w:r>
      <w:r>
        <w:t>:</w:t>
      </w:r>
    </w:p>
    <w:p w14:paraId="2979E096"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משנה ברורה סימן רב ס"ק ט</w:t>
      </w:r>
    </w:p>
    <w:p w14:paraId="5C9A660F" w14:textId="5F587F7B" w:rsidR="006126CA" w:rsidRDefault="006126CA" w:rsidP="004518CF">
      <w:pPr>
        <w:pStyle w:val="NoSpacing"/>
        <w:bidi/>
      </w:pPr>
      <w:r>
        <w:rPr>
          <w:rFonts w:cs="Arial"/>
          <w:rtl/>
        </w:rPr>
        <w:t>(ט) מברך בפה"ג - והוא[יב] שלא נתבטל טעם היין ע"י התערובות</w:t>
      </w:r>
      <w:r>
        <w:t>:</w:t>
      </w:r>
    </w:p>
    <w:p w14:paraId="01F8A51B"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שער הציון סימן רב ס"ק יב</w:t>
      </w:r>
    </w:p>
    <w:p w14:paraId="611F878B" w14:textId="24302D9A" w:rsidR="006126CA" w:rsidRDefault="006126CA" w:rsidP="004518CF">
      <w:pPr>
        <w:pStyle w:val="NoSpacing"/>
        <w:bidi/>
      </w:pPr>
      <w:r>
        <w:rPr>
          <w:rFonts w:cs="Arial"/>
          <w:rtl/>
        </w:rPr>
        <w:t>(יב) דלא עדיף מיין שיש בו דבש הנ"ל, דהדבש בא להטעימו, ואפילו הכי כתב התשב"ץ דבעינן שלא יהא נפסד טעם היין</w:t>
      </w:r>
      <w:r>
        <w:t>:</w:t>
      </w:r>
    </w:p>
    <w:p w14:paraId="0CA5F18F"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משנה ברורה סימן רב ס"ק י</w:t>
      </w:r>
    </w:p>
    <w:p w14:paraId="67521FD2" w14:textId="4AB119F7" w:rsidR="006126CA" w:rsidRDefault="006126CA" w:rsidP="004518CF">
      <w:pPr>
        <w:pStyle w:val="NoSpacing"/>
        <w:bidi/>
      </w:pPr>
      <w:r>
        <w:rPr>
          <w:rFonts w:cs="Arial"/>
          <w:rtl/>
        </w:rPr>
        <w:t>(י) ואם הרוב שכר וכו' - ולא דמי להא דקי"ל לקמן בסימן ר"ד ס"ה בהג"ה דדי שיש ביין מעט יותר מאחד בששה נגד המים ע"ש[יג] דהתם דרך מזיגת יין הוא במים וע"כ לא שייך לומר דיתבטל היין נגד המים שנמזגו בם דנעשה הכל כמין אחד[יד] משא"כ בשכר דאין דרך למזוג בם וכשני מינים בעלמא דמי דכל מין שהוא הרוב הוא העיקר ועיין בביאור הגר"א שדעתו לדינא דגם בעניננו שוה למזיגת יין במים</w:t>
      </w:r>
      <w:r>
        <w:t>:</w:t>
      </w:r>
    </w:p>
    <w:p w14:paraId="5DD51977" w14:textId="77777777" w:rsidR="006126CA" w:rsidRPr="00902E93" w:rsidRDefault="006126CA" w:rsidP="004518CF">
      <w:pPr>
        <w:pStyle w:val="NoSpacing"/>
        <w:numPr>
          <w:ilvl w:val="0"/>
          <w:numId w:val="1"/>
        </w:numPr>
        <w:bidi/>
        <w:ind w:left="0"/>
        <w:rPr>
          <w:b/>
          <w:bCs/>
          <w:u w:val="single"/>
        </w:rPr>
      </w:pPr>
      <w:r w:rsidRPr="00902E93">
        <w:rPr>
          <w:rFonts w:cs="Arial"/>
          <w:b/>
          <w:bCs/>
          <w:u w:val="single"/>
          <w:rtl/>
        </w:rPr>
        <w:t>חיי אדם חלק א כלל נד סעיף ט</w:t>
      </w:r>
    </w:p>
    <w:p w14:paraId="073DE59C" w14:textId="6CEB8D0D" w:rsidR="006126CA" w:rsidRDefault="006126CA" w:rsidP="004518CF">
      <w:pPr>
        <w:pStyle w:val="NoSpacing"/>
        <w:bidi/>
      </w:pPr>
      <w:r>
        <w:rPr>
          <w:rFonts w:cs="Arial"/>
          <w:rtl/>
        </w:rPr>
        <w:t>ה' מיני דגן, בין "גרויפין" [גריסים] או "גאגאליך" שבישל עם שאר מינים כדרך שמבשלין "גרויפין" עם "בולבעש" [תפוחי אדמה] ו"גאגליך" עם "ארבעס" [קטניות], אף על גב דהמין אחר הוא הרוב, כיון שיש בו על כל פנים כל כך מן ה' מינים אלו בענין שאי אפשר לומר שנתבטל לגמרי, מברכין בורא מיני מזונות על ה"גרויפין". אמנם על שאר המינים צריך עיון, שהרי כיון שהם עומדים בפני עצמם ואינן מעורבין וגם אינו ידוע אם זה מה שמבשלין ביחד היינו שיתנו ה' מינים טעם בשאר המינים, דשמא איפכא היא שהקטניות יתנו טעם ב"גרויפין". ונראה לי שצריך לברך. אבל אם נתמעכו ומעורבין אף על פי ששאר המינים הם הרוב, וכן "פיינקוכין" מקמח שמטגנין עם ביצים וגבינה, כיון שיש בו על כל פנים קמח ליתן טעם, מברכין בורא מיני מזונות. אבל אם נתן בו רק קמח לדבק בעלמא וכן לפתן שלפעמים נותנין בו קמח לדבקו, נעשה טפל ומברך על העיקר. וכן "טארטין" שעושין משקדים וצוקר וביצים עם מעט קמח לדבק בעלמא, בטל במיעוטו, כיון שהוא מעורב. ולענין ברכה אחרונה, מבואר כלל נ' סי' כ"א כ"ב (סי' ר"ד מ"א). ועיין לעיל כלל מ"ב מדין עירב קמח עם קמח של שאר מינים</w:t>
      </w:r>
      <w:r>
        <w:t>:</w:t>
      </w:r>
    </w:p>
    <w:p w14:paraId="13C0E19E" w14:textId="77777777" w:rsidR="003854B0" w:rsidRPr="00902E93" w:rsidRDefault="003854B0" w:rsidP="004518CF">
      <w:pPr>
        <w:pStyle w:val="NoSpacing"/>
        <w:numPr>
          <w:ilvl w:val="0"/>
          <w:numId w:val="1"/>
        </w:numPr>
        <w:bidi/>
        <w:ind w:left="0"/>
        <w:rPr>
          <w:b/>
          <w:bCs/>
          <w:u w:val="single"/>
        </w:rPr>
      </w:pPr>
      <w:r w:rsidRPr="00902E93">
        <w:rPr>
          <w:rFonts w:cs="Arial"/>
          <w:b/>
          <w:bCs/>
          <w:u w:val="single"/>
          <w:rtl/>
        </w:rPr>
        <w:t>חיי אדם חלק א כלל נא סעיף יג</w:t>
      </w:r>
    </w:p>
    <w:p w14:paraId="238F197F" w14:textId="291B3F0B" w:rsidR="003854B0" w:rsidRDefault="003854B0" w:rsidP="004518CF">
      <w:pPr>
        <w:pStyle w:val="NoSpacing"/>
        <w:bidi/>
      </w:pPr>
      <w:r>
        <w:rPr>
          <w:rFonts w:cs="Arial"/>
          <w:rtl/>
        </w:rPr>
        <w:t>עירב ב' מינים שאין ברכותיהן שוין כגון בורא פרי העץ עם בורא פרי האדמה וכיוצא בו, אף על פי שבא ליתן טעם, הולכין אחר הרוב, ומברך עליו. ודוקא בענין שאין המעט ניכר. אבל אם כל א' ניכר לעצמו ואינו נעשה לטפל, מברך עליו כל א' ברכתו הראויה לו (מ"א סי' ר"ד ס"ק כ"ה)</w:t>
      </w:r>
      <w:r>
        <w:t>:</w:t>
      </w:r>
    </w:p>
    <w:p w14:paraId="4D3A6CC1" w14:textId="77777777" w:rsidR="003854B0" w:rsidRPr="00902E93" w:rsidRDefault="003854B0" w:rsidP="004518CF">
      <w:pPr>
        <w:pStyle w:val="NoSpacing"/>
        <w:numPr>
          <w:ilvl w:val="0"/>
          <w:numId w:val="1"/>
        </w:numPr>
        <w:bidi/>
        <w:ind w:left="0"/>
        <w:rPr>
          <w:b/>
          <w:bCs/>
          <w:u w:val="single"/>
        </w:rPr>
      </w:pPr>
      <w:r w:rsidRPr="00902E93">
        <w:rPr>
          <w:rFonts w:cs="Arial"/>
          <w:b/>
          <w:bCs/>
          <w:u w:val="single"/>
          <w:rtl/>
        </w:rPr>
        <w:t>משנה ברורה על שולחן ערוך אורח חיים הלכות ברכת הפירות סימן ריב סעיף א</w:t>
      </w:r>
    </w:p>
    <w:p w14:paraId="154E53B4" w14:textId="25CE7952" w:rsidR="003854B0" w:rsidRDefault="003854B0" w:rsidP="004518CF">
      <w:pPr>
        <w:pStyle w:val="NoSpacing"/>
        <w:bidi/>
      </w:pPr>
      <w:r>
        <w:rPr>
          <w:rFonts w:cs="Arial"/>
          <w:rtl/>
        </w:rPr>
        <w:t>(א) אם העיקר מעורב - כגון כל תערובות שני מינים שהאחד הוא העיקר והשני אינו בא אלא לתקנו ולהכשירו או אפילו שניהם עיקרים אלא שהאחד מרובה מחבירו הרוב הוא[א] העיקר כמ"ש סימן ר"ח ס"ז[ב] ואפילו כל מין ומין עומד בפני עצמו וניכר נמי בתר רוב אזלינן וע"כ בפורים שמרקחין שומשמין בדבש ומערבין בהם פתיתי אגוז כל שרוב שומשמין בתר העיקר אזלינן ומברך פרי האדמה[ג] ומיהו כ"ז דוקא בששניהם הוא דבר חשוב הא אם אחד מהן אינו דבר חשוב אף שהוא הרוב בטל הוא לגבי מיעוט החשוב דהוא העיקר ועיין סימן ר"ד סי"ב ובמש"כ שם.[ד] ודע דבחמשת מיני דגן קי"ל לעיל בסי' ר"ח דאם מעורבין עם שאר מינים אפילו הם המיעוט[ה] כל שניתן בהתבשיל לטעם אזלינן בתרייה</w:t>
      </w:r>
      <w:bookmarkStart w:id="0" w:name="_GoBack"/>
      <w:bookmarkEnd w:id="0"/>
      <w:r>
        <w:rPr>
          <w:rFonts w:cs="Arial"/>
          <w:rtl/>
        </w:rPr>
        <w:t>ו ומברך עליהם במ"מ לבד ונפטר תערובות הרוב[ו] מפני שמיני דגן נחשבין לעיקר תמיד[ז] אך בלבד אם יש בהם ממש אבל אם עירב קמח במים הרבה כ"כ עד שהוא רך כדי שיהא ראוי לשתיה מברך שהכל</w:t>
      </w:r>
      <w:r>
        <w:t>:</w:t>
      </w:r>
    </w:p>
    <w:p w14:paraId="03380907" w14:textId="77777777" w:rsidR="00F51ECF" w:rsidRPr="00902E93" w:rsidRDefault="00F51ECF" w:rsidP="004518CF">
      <w:pPr>
        <w:pStyle w:val="NoSpacing"/>
        <w:numPr>
          <w:ilvl w:val="0"/>
          <w:numId w:val="1"/>
        </w:numPr>
        <w:bidi/>
        <w:ind w:left="0"/>
        <w:rPr>
          <w:b/>
          <w:bCs/>
          <w:u w:val="single"/>
        </w:rPr>
      </w:pPr>
      <w:r w:rsidRPr="00902E93">
        <w:rPr>
          <w:rFonts w:cs="Arial"/>
          <w:b/>
          <w:bCs/>
          <w:u w:val="single"/>
          <w:rtl/>
        </w:rPr>
        <w:lastRenderedPageBreak/>
        <w:t>ערוך השולחן אורח חיים סימן ריב</w:t>
      </w:r>
    </w:p>
    <w:p w14:paraId="17BEF1FD" w14:textId="77777777" w:rsidR="00F51ECF" w:rsidRDefault="00F51ECF" w:rsidP="004518CF">
      <w:pPr>
        <w:pStyle w:val="NoSpacing"/>
        <w:bidi/>
      </w:pPr>
      <w:r>
        <w:rPr>
          <w:rFonts w:cs="Arial"/>
          <w:rtl/>
        </w:rPr>
        <w:t>סעיף א</w:t>
      </w:r>
    </w:p>
    <w:p w14:paraId="7D10F46F" w14:textId="6F623592" w:rsidR="00F51ECF" w:rsidRDefault="00F51ECF" w:rsidP="004518CF">
      <w:pPr>
        <w:pStyle w:val="NoSpacing"/>
        <w:bidi/>
      </w:pPr>
      <w:r>
        <w:rPr>
          <w:rFonts w:cs="Arial"/>
          <w:rtl/>
        </w:rPr>
        <w:t>שנו חכמים במשנה [מ"ד.] זה הכלל כל שהוא עיקר ועמו טפילה מברך על העיקר ופוטר את הטפילה ויש שני מיני טפילות האחת טפילה מעורבת והשנית טפילה שאינה מעורבת טפילה מעורבת כיצד הרי שבשלו שני דברים כאחד ואוכלים אותן כאחד כמו שמבשלין קטניות עם גרויפי"ן או גרויפי"ן עם תפוחי אדמה שקורין קארטאפלע"ס או בולבע"ס והנה אם יש בזה דבר שברכתו מזונות כמו לאקסי"ן פארפי"ל ומיני גרויפי"ן האבערנ"א גערסטנ"א פערי"ל גרויפי"ן אפילו הם המועט ברכתן מזונות דכל שיש בו מחמשת המינין אפילו הם מעט הם נעשו עיקר מחמת חשיבותן ומברך על כל התבשיל במ"מ לבד אם לא ניתנו בקדרה לשם אכילה אלא לדיבוק בעלמא או שעירב הקמח במים עד שנעשה רך והוא משקה ולא אוכל וברכתו שהכל אבל שארי שני מינים הולכין אחר הרוב כמ"ש בסי' ר"ח ושם נתבאר דאורז אף על פי שברכתו מזונות מ"מ אין לו חשיבות דה' המינים שיחשב לעיקר אך כשהוא מועט והרי הוא כשארי מאכלים שהולכין אחר הרוב</w:t>
      </w:r>
      <w:r>
        <w:t>:</w:t>
      </w:r>
    </w:p>
    <w:p w14:paraId="6E6F690B" w14:textId="77777777" w:rsidR="00F51ECF" w:rsidRPr="00902E93" w:rsidRDefault="00F51ECF" w:rsidP="004518CF">
      <w:pPr>
        <w:pStyle w:val="NoSpacing"/>
        <w:numPr>
          <w:ilvl w:val="0"/>
          <w:numId w:val="1"/>
        </w:numPr>
        <w:bidi/>
        <w:ind w:left="0"/>
        <w:rPr>
          <w:b/>
          <w:bCs/>
          <w:u w:val="single"/>
        </w:rPr>
      </w:pPr>
      <w:r w:rsidRPr="00902E93">
        <w:rPr>
          <w:rFonts w:cs="Arial"/>
          <w:b/>
          <w:bCs/>
          <w:u w:val="single"/>
          <w:rtl/>
        </w:rPr>
        <w:t>ביאור הלכה סימן ריב</w:t>
      </w:r>
    </w:p>
    <w:p w14:paraId="25AE217E" w14:textId="684CFBE2" w:rsidR="00F51ECF" w:rsidRDefault="00F51ECF" w:rsidP="004518CF">
      <w:pPr>
        <w:pStyle w:val="NoSpacing"/>
        <w:bidi/>
      </w:pPr>
      <w:r>
        <w:t xml:space="preserve">* </w:t>
      </w:r>
      <w:r>
        <w:rPr>
          <w:rFonts w:cs="Arial"/>
          <w:rtl/>
        </w:rPr>
        <w:t>אם העיקר מעורב - עיין במ"ב ובדה"ח אות י"ח [בדין דברים המטוגנים] כתב וז"ל אם אוכל שני מאכלים שהן מעורבין בקערה אחת אם עיקר כונתו על האחד מברך עליו ופוטר השני אפילו הוא המועט ובסתם מה שהוא הרוב הוא העיקר עי"ש אבל אם יש בתערובות אפילו מעט מה' מינים שעירב בתוכו כדי לאכול מברך במ"מ ופוטר השני עכ"ל אכן בח"א בכלל נ"א סי"ג ובכלל נ"ד ס"ט מצדד דהיכא דמינכר ומובדל כל מין בפני עצמו מברך על כל מין ומין ולא אזלינן בתר רובא ולא בתר ה' מיני דגן ולמעשה נראה דספק ברכות להקל ולא יברך אלא כברכת הרוב וכן בתבשיל שמעורב בו מה' מיני דגן יברך רק במ"מ [וגם על המחיה בסוף אם יש בו כזית דגן בכדי אכילת פרס] וכן משמע בפמ"ג בפתיחה בענין ברכת הנהנין אות י"א דאפילו היכא דמינכר כל אחד בפ"ע נמי בתר רובא אזלינן וכן בתר ה' מינין אפילו הם המיעוט ולא יברך אלא ברכה אחת וכן שמעתי מורים בשם גאון אחד. והרוצה לחוש לדעת הח"א ימעך הפרי אדמה ויהיה מעורב עם פתיתי העיסה או הגרויפין על ה' מיני דגן ויאכלם ביחד ויברך בורא מיני מזונות על שני המינים ביחד. וכן לענין שארי מינים שאינם מחמשה מיני דגן אם הרוב ממין אחד והמין השני שהוא המועט מובדל בפ"ע כגון שבישל ביחד תפוחים עם מעט תפוחי אדמה וכה"ג ימעך המיעוט ויברך כברכת הרוב</w:t>
      </w:r>
      <w:r>
        <w:t>:</w:t>
      </w:r>
    </w:p>
    <w:p w14:paraId="2C3DD220" w14:textId="77777777" w:rsidR="00902E93" w:rsidRPr="00902E93" w:rsidRDefault="00902E93" w:rsidP="004518CF">
      <w:pPr>
        <w:pStyle w:val="NoSpacing"/>
        <w:numPr>
          <w:ilvl w:val="0"/>
          <w:numId w:val="1"/>
        </w:numPr>
        <w:bidi/>
        <w:ind w:left="0"/>
        <w:rPr>
          <w:b/>
          <w:bCs/>
          <w:u w:val="single"/>
        </w:rPr>
      </w:pPr>
      <w:r w:rsidRPr="00902E93">
        <w:rPr>
          <w:rFonts w:cs="Arial"/>
          <w:b/>
          <w:bCs/>
          <w:u w:val="single"/>
          <w:rtl/>
        </w:rPr>
        <w:t>ערוך השולחן אורח חיים סימן ריב</w:t>
      </w:r>
    </w:p>
    <w:p w14:paraId="5AB2DB28" w14:textId="77777777" w:rsidR="00902E93" w:rsidRDefault="00902E93" w:rsidP="004518CF">
      <w:pPr>
        <w:pStyle w:val="NoSpacing"/>
        <w:bidi/>
      </w:pPr>
      <w:r>
        <w:rPr>
          <w:rFonts w:cs="Arial"/>
          <w:rtl/>
        </w:rPr>
        <w:t>סעיף ב</w:t>
      </w:r>
    </w:p>
    <w:p w14:paraId="6C680715" w14:textId="1A8E7CF4" w:rsidR="00902E93" w:rsidRPr="006126CA" w:rsidRDefault="00902E93" w:rsidP="004518CF">
      <w:pPr>
        <w:pStyle w:val="NoSpacing"/>
        <w:bidi/>
      </w:pPr>
      <w:r>
        <w:rPr>
          <w:rFonts w:cs="Arial"/>
          <w:rtl/>
        </w:rPr>
        <w:t>ואין לשאול לפ"ז אצלינו שמבשלין תבשילין עם בשר ואנו מברכין על התבשיל הברכה המיוחדת לו ועל הבשר שהכל ליהוי חד מינייהו עיקר והשני טפל דאין זו שאלה דבטפילה המעורבת לא שייך עיקר וטפל אלא כשאוכלם ביחד כמו כשמבשלים גרויפי"ן עם קטניות או עם תפוחי אדמה שלוקחין בכף אחת זה וזה ואז אפילו אם אינו נלקח בכף רק מין אחד ג"כ הוי טפל אבל הבשר אוכלין בפ"ע או קודם התבשיל או אח"כ אין זה עיקר וטפל וה"ה אם ליקט התפוחי אדמה מתוך התבשיל ואוכלן בפ"ע מברך עליהם ב"פ האדמה אם התבשיל ברכתו מזונות או שהכל וכן להיפך בבשר כשחתכן לחתיכות קטנות ואוכלן ביחד עם התבשיל נעשים בטילים וטפלים להתבשיל וכיוצא בזה בכל הדברים ופשוט הוא דכל זה מיירי כשאוכל תבשיל ובשר שלא בתוך הסעודה דאלו אוכלם בתוך הסעודה כולם טפילים להלחם וברכת המוציא פוטרתן כדין דברים הבאים בתוך הסעודה שהפת פוטרתן כמ"ש בסי' קע"ז ע"ש וכן עיסה ממולאת בפירות או בבצים או בגבינה כמו מיני טיגון שלנו הוה העיסה עיקר וא"צ ברכה על המילוי אפילו אוכל המילוי מעט בפ"ע אך אם נוטל המילוי מהם ואוכלם ואינו אוכל העיקר עתה כלל פשיטא שמברך על הטפל הברכה הראויה לה מפני שכעת איננה טפל אלא עיקר וכה"ג בכל עיקר וטפל המעורבת</w:t>
      </w:r>
      <w:r>
        <w:t>:</w:t>
      </w:r>
    </w:p>
    <w:sectPr w:rsidR="00902E93" w:rsidRPr="006126CA" w:rsidSect="004518CF">
      <w:headerReference w:type="default" r:id="rId8"/>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FF52" w14:textId="77777777" w:rsidR="002A0D99" w:rsidRDefault="002A0D99" w:rsidP="004518CF">
      <w:pPr>
        <w:spacing w:after="0" w:line="240" w:lineRule="auto"/>
      </w:pPr>
      <w:r>
        <w:separator/>
      </w:r>
    </w:p>
  </w:endnote>
  <w:endnote w:type="continuationSeparator" w:id="0">
    <w:p w14:paraId="135568F5" w14:textId="77777777" w:rsidR="002A0D99" w:rsidRDefault="002A0D99" w:rsidP="0045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5F7C" w14:textId="77777777" w:rsidR="002A0D99" w:rsidRDefault="002A0D99" w:rsidP="004518CF">
      <w:pPr>
        <w:spacing w:after="0" w:line="240" w:lineRule="auto"/>
      </w:pPr>
      <w:r>
        <w:separator/>
      </w:r>
    </w:p>
  </w:footnote>
  <w:footnote w:type="continuationSeparator" w:id="0">
    <w:p w14:paraId="68714310" w14:textId="77777777" w:rsidR="002A0D99" w:rsidRDefault="002A0D99" w:rsidP="0045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D33B" w14:textId="6D442476" w:rsidR="004518CF" w:rsidRDefault="004518CF" w:rsidP="004518CF">
    <w:pPr>
      <w:pStyle w:val="Header"/>
      <w:bidi/>
      <w:jc w:val="center"/>
    </w:pPr>
    <w:r w:rsidRPr="004518CF">
      <w:rPr>
        <w:rFonts w:hint="cs"/>
        <w:sz w:val="52"/>
        <w:szCs w:val="52"/>
        <w:rtl/>
      </w:rPr>
      <w:t xml:space="preserve">הלכות ברכות </w:t>
    </w:r>
    <w:r w:rsidRPr="004518CF">
      <w:rPr>
        <w:sz w:val="52"/>
        <w:szCs w:val="52"/>
        <w:rtl/>
      </w:rPr>
      <w:t>–</w:t>
    </w:r>
    <w:r w:rsidRPr="004518CF">
      <w:rPr>
        <w:rFonts w:hint="cs"/>
        <w:sz w:val="52"/>
        <w:szCs w:val="52"/>
        <w:rtl/>
      </w:rPr>
      <w:t xml:space="preserve"> עיקר וטפל (3)</w:t>
    </w:r>
    <w:r>
      <w:rPr>
        <w:rFonts w:hint="cs"/>
        <w:rtl/>
      </w:rPr>
      <w:t xml:space="preserve"> פ' בשלח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B5C0C"/>
    <w:multiLevelType w:val="hybridMultilevel"/>
    <w:tmpl w:val="F8EA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CA"/>
    <w:rsid w:val="002A0D99"/>
    <w:rsid w:val="003854B0"/>
    <w:rsid w:val="004518CF"/>
    <w:rsid w:val="006126CA"/>
    <w:rsid w:val="00902E93"/>
    <w:rsid w:val="00D96CD9"/>
    <w:rsid w:val="00F51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CF"/>
    <w:pPr>
      <w:ind w:left="720"/>
      <w:contextualSpacing/>
    </w:pPr>
  </w:style>
  <w:style w:type="paragraph" w:styleId="NoSpacing">
    <w:name w:val="No Spacing"/>
    <w:uiPriority w:val="1"/>
    <w:qFormat/>
    <w:rsid w:val="00902E93"/>
    <w:pPr>
      <w:spacing w:after="0" w:line="240" w:lineRule="auto"/>
    </w:pPr>
  </w:style>
  <w:style w:type="paragraph" w:styleId="Header">
    <w:name w:val="header"/>
    <w:basedOn w:val="Normal"/>
    <w:link w:val="HeaderChar"/>
    <w:uiPriority w:val="99"/>
    <w:unhideWhenUsed/>
    <w:rsid w:val="0045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CF"/>
  </w:style>
  <w:style w:type="paragraph" w:styleId="Footer">
    <w:name w:val="footer"/>
    <w:basedOn w:val="Normal"/>
    <w:link w:val="FooterChar"/>
    <w:uiPriority w:val="99"/>
    <w:unhideWhenUsed/>
    <w:rsid w:val="0045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CF"/>
    <w:pPr>
      <w:ind w:left="720"/>
      <w:contextualSpacing/>
    </w:pPr>
  </w:style>
  <w:style w:type="paragraph" w:styleId="NoSpacing">
    <w:name w:val="No Spacing"/>
    <w:uiPriority w:val="1"/>
    <w:qFormat/>
    <w:rsid w:val="00902E93"/>
    <w:pPr>
      <w:spacing w:after="0" w:line="240" w:lineRule="auto"/>
    </w:pPr>
  </w:style>
  <w:style w:type="paragraph" w:styleId="Header">
    <w:name w:val="header"/>
    <w:basedOn w:val="Normal"/>
    <w:link w:val="HeaderChar"/>
    <w:uiPriority w:val="99"/>
    <w:unhideWhenUsed/>
    <w:rsid w:val="0045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CF"/>
  </w:style>
  <w:style w:type="paragraph" w:styleId="Footer">
    <w:name w:val="footer"/>
    <w:basedOn w:val="Normal"/>
    <w:link w:val="FooterChar"/>
    <w:uiPriority w:val="99"/>
    <w:unhideWhenUsed/>
    <w:rsid w:val="0045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2020-01-31T10:37:00Z</cp:lastPrinted>
  <dcterms:created xsi:type="dcterms:W3CDTF">2020-01-31T09:00:00Z</dcterms:created>
  <dcterms:modified xsi:type="dcterms:W3CDTF">2020-01-31T10:38:00Z</dcterms:modified>
</cp:coreProperties>
</file>