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3225" w14:textId="6D5AC060" w:rsidR="00B407BA" w:rsidRPr="00037410" w:rsidRDefault="00B407BA" w:rsidP="00461817">
      <w:pPr>
        <w:pStyle w:val="NoSpacing"/>
        <w:bidi/>
      </w:pPr>
    </w:p>
    <w:p w14:paraId="7C55CDDA" w14:textId="77777777" w:rsidR="005864F3" w:rsidRPr="00037410" w:rsidRDefault="005864F3" w:rsidP="00461817">
      <w:pPr>
        <w:pStyle w:val="NoSpacing"/>
        <w:numPr>
          <w:ilvl w:val="0"/>
          <w:numId w:val="1"/>
        </w:numPr>
        <w:bidi/>
        <w:rPr>
          <w:b/>
          <w:bCs/>
          <w:u w:val="single"/>
        </w:rPr>
      </w:pPr>
      <w:r w:rsidRPr="00037410">
        <w:rPr>
          <w:rFonts w:cs="Arial"/>
          <w:b/>
          <w:bCs/>
          <w:u w:val="single"/>
          <w:rtl/>
        </w:rPr>
        <w:t>תלמוד בבלי מסכת ברכות דף נט עמוד ב</w:t>
      </w:r>
    </w:p>
    <w:p w14:paraId="4D930AA6" w14:textId="7A2717E6" w:rsidR="005864F3" w:rsidRPr="00037410" w:rsidRDefault="005864F3" w:rsidP="00461817">
      <w:pPr>
        <w:pStyle w:val="NoSpacing"/>
        <w:bidi/>
      </w:pPr>
      <w:r w:rsidRPr="00037410">
        <w:rPr>
          <w:rFonts w:cs="Arial"/>
          <w:rtl/>
        </w:rPr>
        <w:t xml:space="preserve">וכל היכא דלית לאחרינא בהדיה לא מברך הטוב והמטיב? -. תא שמע: שינוי יין אינו צריך לברך, שינוי מקום צריך </w:t>
      </w:r>
      <w:bookmarkStart w:id="0" w:name="_GoBack"/>
      <w:r w:rsidRPr="00037410">
        <w:rPr>
          <w:rFonts w:cs="Arial"/>
          <w:rtl/>
        </w:rPr>
        <w:t xml:space="preserve">לברך. ואמר רבי יוסף בר אבא אמר רבי יוחנן: אף על פי שאמרו שינוי יין אינו צריך לברך, אבל אומר ברוך הטוב </w:t>
      </w:r>
      <w:bookmarkEnd w:id="0"/>
      <w:r w:rsidRPr="00037410">
        <w:rPr>
          <w:rFonts w:cs="Arial"/>
          <w:rtl/>
        </w:rPr>
        <w:t>והמטיב! - התם נמי, דאיכא בני חבורה דשתו בהדיה</w:t>
      </w:r>
      <w:r w:rsidRPr="00037410">
        <w:t>.</w:t>
      </w:r>
    </w:p>
    <w:p w14:paraId="66D0415D" w14:textId="77777777" w:rsidR="005864F3" w:rsidRPr="00037410" w:rsidRDefault="005864F3" w:rsidP="00461817">
      <w:pPr>
        <w:pStyle w:val="NoSpacing"/>
        <w:numPr>
          <w:ilvl w:val="0"/>
          <w:numId w:val="1"/>
        </w:numPr>
        <w:bidi/>
        <w:rPr>
          <w:b/>
          <w:bCs/>
          <w:u w:val="single"/>
        </w:rPr>
      </w:pPr>
      <w:r w:rsidRPr="00037410">
        <w:rPr>
          <w:rFonts w:cs="Arial"/>
          <w:b/>
          <w:bCs/>
          <w:u w:val="single"/>
          <w:rtl/>
        </w:rPr>
        <w:t>תלמוד בבלי מסכת פסחים דף קא עמוד א</w:t>
      </w:r>
    </w:p>
    <w:p w14:paraId="38828DBB" w14:textId="69E1CF81" w:rsidR="005864F3" w:rsidRPr="00037410" w:rsidRDefault="005864F3" w:rsidP="00461817">
      <w:pPr>
        <w:pStyle w:val="NoSpacing"/>
        <w:bidi/>
        <w:rPr>
          <w:rFonts w:cs="Arial"/>
        </w:rPr>
      </w:pPr>
      <w:r w:rsidRPr="00037410">
        <w:t xml:space="preserve"> </w:t>
      </w:r>
      <w:r w:rsidRPr="00037410">
        <w:rPr>
          <w:rFonts w:cs="Arial"/>
          <w:rtl/>
        </w:rPr>
        <w:t>ורבי יוחנן אמר: אף ידי יין נמי יצאו. ואזדא רבי יוחנן לטעמיה, דאמר רב חנין בר אביי אמר רבי פדת אמר רבי יוחנן: אחד שינוי יין</w:t>
      </w:r>
    </w:p>
    <w:p w14:paraId="16E282C0" w14:textId="588F8D5F" w:rsidR="005864F3" w:rsidRPr="00037410" w:rsidRDefault="005864F3" w:rsidP="00461817">
      <w:pPr>
        <w:pStyle w:val="NoSpacing"/>
        <w:bidi/>
      </w:pPr>
      <w:r w:rsidRPr="00037410">
        <w:rPr>
          <w:rFonts w:cs="Arial"/>
          <w:rtl/>
        </w:rPr>
        <w:t>ואחד שינוי מקום - אין צריך לברך. מיתיבי: שינוי מקום - צריך לברך, שינוי יין - אין צריך לברך. תיובתא דרבי יוחנן תיובתא</w:t>
      </w:r>
      <w:r w:rsidRPr="00037410">
        <w:t>.</w:t>
      </w:r>
    </w:p>
    <w:p w14:paraId="31411554" w14:textId="77777777" w:rsidR="00751809" w:rsidRPr="00037410" w:rsidRDefault="00751809" w:rsidP="00461817">
      <w:pPr>
        <w:pStyle w:val="NoSpacing"/>
        <w:numPr>
          <w:ilvl w:val="0"/>
          <w:numId w:val="1"/>
        </w:numPr>
        <w:bidi/>
        <w:rPr>
          <w:b/>
          <w:bCs/>
          <w:u w:val="single"/>
        </w:rPr>
      </w:pPr>
      <w:r w:rsidRPr="00037410">
        <w:rPr>
          <w:rFonts w:cs="Arial"/>
          <w:b/>
          <w:bCs/>
          <w:u w:val="single"/>
          <w:rtl/>
        </w:rPr>
        <w:t>תלמוד בבלי מסכת פסחים דף קא עמוד ב</w:t>
      </w:r>
    </w:p>
    <w:p w14:paraId="162F6349" w14:textId="3EDA8A67" w:rsidR="00751809" w:rsidRPr="00037410" w:rsidRDefault="00751809" w:rsidP="00461817">
      <w:pPr>
        <w:pStyle w:val="NoSpacing"/>
        <w:bidi/>
        <w:rPr>
          <w:rFonts w:cs="Arial"/>
        </w:rPr>
      </w:pPr>
      <w:r w:rsidRPr="00037410">
        <w:t xml:space="preserve"> </w:t>
      </w:r>
      <w:r w:rsidRPr="00037410">
        <w:rPr>
          <w:rFonts w:cs="Arial"/>
          <w:rtl/>
        </w:rPr>
        <w:t>ותו, יתיב רב חסדא וקאמר משמיה דנפשיה: הא דאמרת שינוי מקום צריך לברך - לא אמרן אלא בדברים שאין טעונין ברכה לאחריהן במקומן, אבל דברים הטעונין ברכה לאחריהן במקומן - אין צריך לברך. מאי טעמא - לקיבעא קמא הדר</w:t>
      </w:r>
    </w:p>
    <w:p w14:paraId="2A948879" w14:textId="77777777" w:rsidR="003B57DC" w:rsidRPr="00037410" w:rsidRDefault="003B57DC" w:rsidP="00037410">
      <w:pPr>
        <w:pStyle w:val="NoSpacing"/>
        <w:numPr>
          <w:ilvl w:val="0"/>
          <w:numId w:val="1"/>
        </w:numPr>
        <w:bidi/>
        <w:rPr>
          <w:rFonts w:cs="Arial"/>
          <w:b/>
          <w:bCs/>
          <w:u w:val="single"/>
        </w:rPr>
      </w:pPr>
      <w:r w:rsidRPr="00037410">
        <w:rPr>
          <w:rFonts w:cs="Arial"/>
          <w:b/>
          <w:bCs/>
          <w:u w:val="single"/>
          <w:rtl/>
        </w:rPr>
        <w:t>שולחן ערוך אורח חיים הלכות בציעת הפת, סעודה, וברכת המזון סימן קעח סעיף ב</w:t>
      </w:r>
    </w:p>
    <w:p w14:paraId="60FC5C45" w14:textId="1ACCDC47" w:rsidR="003B57DC" w:rsidRPr="00037410" w:rsidRDefault="003B57DC" w:rsidP="003B57DC">
      <w:pPr>
        <w:pStyle w:val="NoSpacing"/>
        <w:bidi/>
        <w:rPr>
          <w:rFonts w:cs="Arial"/>
        </w:rPr>
      </w:pPr>
      <w:r w:rsidRPr="00037410">
        <w:rPr>
          <w:rFonts w:cs="Arial"/>
          <w:rtl/>
        </w:rPr>
        <w:t>ולכן מי שפסק סעודתו יב] והלך לבית אחר, (כט) או שהיה אוכל וקראו חברו לדבר עמו אפי' יג] לפתח ביתו או למקום אחר, כשחוזר לסעודה א"צ לברך כלל, ח'] יד] דהא פת צריך ברכה במקומו לכולי עלמא; טו] ה} מיהו * אם הסיח דעתו כשחוזר, (ל) ודאי * צריך לברך טז] על מה שרוצה לאכול אח"כ (ב"י ורשב"א). (לא) ז יז] ואין חילוק ט'] בין חזר למקום שאכל כבר ובין (לב) סיים סעודתו במקום אחר (רמב"ם פ"ד ור"ן). וכן נוהגין במדינות אלו, מ"מ (לג) לכתחלה לא יעקר (לד) ממקומו * (לה) בלא ברכה, * (לו) ח דחיישינן יח] ו} שמא ישכח מלחזור ולאכול (הר"ר מנוח ור"ן); יט] מיהו לצורך מצוה * עוברת, כגון שהגיע זמן תפלה, מותר (כל בו הל' פסח) ועיין סי' קפ"ד.</w:t>
      </w:r>
    </w:p>
    <w:p w14:paraId="2D941F3D" w14:textId="77777777" w:rsidR="003B57DC" w:rsidRPr="00037410" w:rsidRDefault="003B57DC" w:rsidP="00037410">
      <w:pPr>
        <w:pStyle w:val="NoSpacing"/>
        <w:numPr>
          <w:ilvl w:val="0"/>
          <w:numId w:val="1"/>
        </w:numPr>
        <w:bidi/>
        <w:rPr>
          <w:rFonts w:cs="Arial"/>
          <w:b/>
          <w:bCs/>
          <w:u w:val="single"/>
        </w:rPr>
      </w:pPr>
      <w:r w:rsidRPr="00037410">
        <w:rPr>
          <w:rFonts w:cs="Arial"/>
          <w:b/>
          <w:bCs/>
          <w:u w:val="single"/>
          <w:rtl/>
        </w:rPr>
        <w:t>משנה ברורה סימן קעח ס"ק לו</w:t>
      </w:r>
    </w:p>
    <w:p w14:paraId="402B625D" w14:textId="267F3DEE" w:rsidR="003B57DC" w:rsidRPr="00037410" w:rsidRDefault="003B57DC" w:rsidP="003B57DC">
      <w:pPr>
        <w:pStyle w:val="NoSpacing"/>
        <w:bidi/>
        <w:rPr>
          <w:rFonts w:cs="Arial"/>
        </w:rPr>
      </w:pPr>
      <w:r w:rsidRPr="00037410">
        <w:rPr>
          <w:rFonts w:cs="Arial"/>
          <w:rtl/>
        </w:rPr>
        <w:t>(לו) דחיישינן וכו' - ואפילו אם לא אכל פת אלא פירות ושארי דברים[כו] משמע מכמה אחרונים דנכון ליזהר[כז] לכתחלה שלא לצאת ממקומו עד שיברך ברכה אחרונה:</w:t>
      </w:r>
    </w:p>
    <w:p w14:paraId="798F4D05" w14:textId="77777777" w:rsidR="00751809" w:rsidRPr="00037410" w:rsidRDefault="00751809" w:rsidP="00461817">
      <w:pPr>
        <w:pStyle w:val="NoSpacing"/>
        <w:numPr>
          <w:ilvl w:val="0"/>
          <w:numId w:val="1"/>
        </w:numPr>
        <w:bidi/>
        <w:rPr>
          <w:b/>
          <w:bCs/>
          <w:u w:val="single"/>
        </w:rPr>
      </w:pPr>
      <w:r w:rsidRPr="00037410">
        <w:rPr>
          <w:rFonts w:cs="Arial"/>
          <w:b/>
          <w:bCs/>
          <w:u w:val="single"/>
          <w:rtl/>
        </w:rPr>
        <w:t>רשב"ם מסכת פסחים דף קא עמוד ב</w:t>
      </w:r>
    </w:p>
    <w:p w14:paraId="098AA4B7" w14:textId="77777777" w:rsidR="00751809" w:rsidRPr="00037410" w:rsidRDefault="00751809" w:rsidP="00461817">
      <w:pPr>
        <w:pStyle w:val="NoSpacing"/>
        <w:bidi/>
      </w:pPr>
      <w:r w:rsidRPr="00037410">
        <w:rPr>
          <w:rFonts w:cs="Arial"/>
          <w:rtl/>
        </w:rPr>
        <w:t>בדברים שאינן טעונין ברכה לאחריהן במקומן. כגון מים או פירות שאינן טעונין ברכה חשובה בפני עצמם אלא בורא נפשות רבות הלכך א"צ לברך במקומן אחריהן דודאי כיון דעמד והלך במקום אחר עמידתו זו היא גמר סעודתו והך סעודה אחריתי היא וצריך לברך בתחלה</w:t>
      </w:r>
      <w:r w:rsidRPr="00037410">
        <w:t>:</w:t>
      </w:r>
    </w:p>
    <w:p w14:paraId="5A982355" w14:textId="25896A6F" w:rsidR="00751809" w:rsidRPr="00037410" w:rsidRDefault="00751809" w:rsidP="00461817">
      <w:pPr>
        <w:pStyle w:val="NoSpacing"/>
        <w:bidi/>
        <w:rPr>
          <w:rFonts w:cs="Arial"/>
        </w:rPr>
      </w:pPr>
      <w:r w:rsidRPr="00037410">
        <w:rPr>
          <w:rFonts w:cs="Arial"/>
          <w:rtl/>
        </w:rPr>
        <w:t>אבל דברים הטעונין ברכה לאחריהן במקומן. כלומר ברכה חשובה בפני עצמן (והלכך) צריכין במקומן כגון שבעת המינין דאית בהו ברכה אחת מעין שלש הואיל ולא בירך אחריהן והלך במקום אחר לסעוד על דעת קביעות הראשונה הלך לברך ברכה אחת על שתיהן ולפניהן נמי א"צ לחזור ולברך</w:t>
      </w:r>
    </w:p>
    <w:p w14:paraId="4B51D7CE" w14:textId="77777777" w:rsidR="00751809" w:rsidRPr="00037410" w:rsidRDefault="00751809" w:rsidP="00461817">
      <w:pPr>
        <w:pStyle w:val="NoSpacing"/>
        <w:numPr>
          <w:ilvl w:val="0"/>
          <w:numId w:val="1"/>
        </w:numPr>
        <w:bidi/>
        <w:rPr>
          <w:b/>
          <w:bCs/>
          <w:u w:val="single"/>
        </w:rPr>
      </w:pPr>
      <w:r w:rsidRPr="00037410">
        <w:rPr>
          <w:rFonts w:cs="Arial"/>
          <w:b/>
          <w:bCs/>
          <w:u w:val="single"/>
          <w:rtl/>
        </w:rPr>
        <w:t>תוספות מסכת פסחים דף קא עמוד ב</w:t>
      </w:r>
    </w:p>
    <w:p w14:paraId="23C4D9C0" w14:textId="7A7793F9" w:rsidR="00751809" w:rsidRPr="00037410" w:rsidRDefault="00751809" w:rsidP="00461817">
      <w:pPr>
        <w:pStyle w:val="NoSpacing"/>
        <w:bidi/>
        <w:rPr>
          <w:rFonts w:cs="Arial"/>
        </w:rPr>
      </w:pPr>
      <w:r w:rsidRPr="00037410">
        <w:rPr>
          <w:rFonts w:cs="Arial"/>
          <w:rtl/>
        </w:rPr>
        <w:t>לכך נראה דיין וכל ז' מינין לא הוו בכלל דברים הטעונין ברכה לאחריהם במקומן אלא פת וכל מיני פת שמברכין עליו המוציא או שמא כל מיני מזונות שיש בהם מה' מינין הוו בכלל דברים הטעונין ברכה לאחריהן במקומן</w:t>
      </w:r>
    </w:p>
    <w:p w14:paraId="41ECD08F" w14:textId="77777777" w:rsidR="003B57DC" w:rsidRPr="00037410" w:rsidRDefault="003B57DC" w:rsidP="00037410">
      <w:pPr>
        <w:pStyle w:val="NoSpacing"/>
        <w:numPr>
          <w:ilvl w:val="0"/>
          <w:numId w:val="1"/>
        </w:numPr>
        <w:bidi/>
        <w:rPr>
          <w:rFonts w:cs="Arial"/>
          <w:b/>
          <w:bCs/>
          <w:u w:val="single"/>
        </w:rPr>
      </w:pPr>
      <w:r w:rsidRPr="00037410">
        <w:rPr>
          <w:rFonts w:cs="Arial"/>
          <w:b/>
          <w:bCs/>
          <w:u w:val="single"/>
          <w:rtl/>
        </w:rPr>
        <w:t>שולחן ערוך אורח חיים הלכות בציעת הפת, סעודה, וברכת המזון סימן קעח סעיף ב</w:t>
      </w:r>
    </w:p>
    <w:p w14:paraId="5874A05B" w14:textId="55A5522F" w:rsidR="003B57DC" w:rsidRPr="00037410" w:rsidRDefault="003B57DC" w:rsidP="003B57DC">
      <w:pPr>
        <w:pStyle w:val="NoSpacing"/>
        <w:bidi/>
        <w:rPr>
          <w:rFonts w:cs="Arial"/>
        </w:rPr>
      </w:pPr>
      <w:r w:rsidRPr="00037410">
        <w:rPr>
          <w:rFonts w:cs="Arial"/>
          <w:rtl/>
        </w:rPr>
        <w:t>חברים שהיו יושבים לאכול ויצאו (יג) לקראת חתן או לקראת כלה, ב'] אם הניחו שם (יד) מקצתן חוזרים למקומם וגומרין סעודתן ג'] ואינם צריכין (טו) לברך שנייה; ואם לא הניחו שם אדם, (טז) כשהם יוצאים צריכים ברכה למפרע, (יז) ד'] וכשהם חוזרים צריכים ברכה לכתחלה; (יח) ג &lt;ג&gt; ה] ב} וכן אם היו מסובין לשתות או לאכול פירות, שכל המשנה מקומו הרי (יט) פסק אכילתו (כ) ולפיכך מברך (כא) למפרע על מה שאכל, וחוזר ומברך שנית על מה שהוא צריך לאכול.</w:t>
      </w:r>
    </w:p>
    <w:p w14:paraId="31468A0E" w14:textId="77777777" w:rsidR="003B57DC" w:rsidRPr="00037410" w:rsidRDefault="003B57DC" w:rsidP="00037410">
      <w:pPr>
        <w:pStyle w:val="NoSpacing"/>
        <w:numPr>
          <w:ilvl w:val="0"/>
          <w:numId w:val="1"/>
        </w:numPr>
        <w:bidi/>
        <w:rPr>
          <w:rFonts w:cs="Arial"/>
          <w:b/>
          <w:bCs/>
          <w:u w:val="single"/>
        </w:rPr>
      </w:pPr>
      <w:r w:rsidRPr="00037410">
        <w:rPr>
          <w:rFonts w:cs="Arial"/>
          <w:b/>
          <w:bCs/>
          <w:u w:val="single"/>
          <w:rtl/>
        </w:rPr>
        <w:t>משנה ברורה סימן קעח ס"ק יח</w:t>
      </w:r>
    </w:p>
    <w:p w14:paraId="424EB296" w14:textId="7A2B04BD" w:rsidR="003B57DC" w:rsidRPr="00037410" w:rsidRDefault="003B57DC" w:rsidP="003B57DC">
      <w:pPr>
        <w:pStyle w:val="NoSpacing"/>
        <w:bidi/>
        <w:rPr>
          <w:rFonts w:cs="Arial"/>
        </w:rPr>
      </w:pPr>
      <w:r w:rsidRPr="00037410">
        <w:rPr>
          <w:rFonts w:cs="Arial"/>
          <w:rtl/>
        </w:rPr>
        <w:t>(יח) וכן אם היו וכו' - אשמועינן[יד] דגם בזה מהני הניח מקצת חברים כמו בסעודת פת:</w:t>
      </w:r>
    </w:p>
    <w:p w14:paraId="5B10A315" w14:textId="77777777" w:rsidR="00751809" w:rsidRPr="00037410" w:rsidRDefault="00751809" w:rsidP="00461817">
      <w:pPr>
        <w:pStyle w:val="NoSpacing"/>
        <w:numPr>
          <w:ilvl w:val="0"/>
          <w:numId w:val="1"/>
        </w:numPr>
        <w:bidi/>
        <w:rPr>
          <w:b/>
          <w:bCs/>
          <w:u w:val="single"/>
        </w:rPr>
      </w:pPr>
      <w:r w:rsidRPr="00037410">
        <w:rPr>
          <w:rFonts w:cs="Arial"/>
          <w:b/>
          <w:bCs/>
          <w:u w:val="single"/>
          <w:rtl/>
        </w:rPr>
        <w:t>שולחן ערוך אורח חיים הלכות בציעת הפת, סעודה, וברכת המזון סימן קעח</w:t>
      </w:r>
    </w:p>
    <w:p w14:paraId="695E54A0" w14:textId="1CAC167C" w:rsidR="00751809" w:rsidRPr="00037410" w:rsidRDefault="00751809" w:rsidP="00461817">
      <w:pPr>
        <w:pStyle w:val="NoSpacing"/>
        <w:bidi/>
      </w:pPr>
      <w:r w:rsidRPr="00037410">
        <w:rPr>
          <w:rFonts w:cs="Arial"/>
          <w:rtl/>
        </w:rPr>
        <w:t>יב ה') י"א כב] ז} ששבעת המינים טעונים ברכה (מג) לאחריהם במקומם, וי"א כג] דדוקא (מד) מיני דגן. הגה: וי"א כד] דוקא פת (מה) לבד (הגהות מיימוני פ"ד</w:t>
      </w:r>
      <w:r w:rsidRPr="00037410">
        <w:t>).</w:t>
      </w:r>
    </w:p>
    <w:p w14:paraId="592EBCA2" w14:textId="77777777" w:rsidR="00751809" w:rsidRPr="00037410" w:rsidRDefault="00751809" w:rsidP="00461817">
      <w:pPr>
        <w:pStyle w:val="NoSpacing"/>
        <w:numPr>
          <w:ilvl w:val="0"/>
          <w:numId w:val="1"/>
        </w:numPr>
        <w:bidi/>
        <w:rPr>
          <w:b/>
          <w:bCs/>
          <w:u w:val="single"/>
        </w:rPr>
      </w:pPr>
      <w:r w:rsidRPr="00037410">
        <w:rPr>
          <w:rFonts w:cs="Arial"/>
          <w:b/>
          <w:bCs/>
          <w:u w:val="single"/>
          <w:rtl/>
        </w:rPr>
        <w:t>מגן אברהם על שולחן ערוך אורח חיים הלכות בציעת הפת, סעודה, וברכת המזון סימן קעח סעיף ה</w:t>
      </w:r>
    </w:p>
    <w:p w14:paraId="10E755A9" w14:textId="53A5E49F" w:rsidR="00751809" w:rsidRPr="00037410" w:rsidRDefault="00751809" w:rsidP="00461817">
      <w:pPr>
        <w:pStyle w:val="NoSpacing"/>
        <w:bidi/>
      </w:pPr>
      <w:r w:rsidRPr="00037410">
        <w:rPr>
          <w:rFonts w:cs="Arial"/>
          <w:rtl/>
        </w:rPr>
        <w:t>יב (פמ"ג) (מחה"ש) י"א שז' המינים. ולכתחלה יחמיר לברך במקומו וכן לענין שינוי מקום א"צ לברך על כל ז' המינים וכמ"ש ס"ב דספק ברכות להקל</w:t>
      </w:r>
      <w:r w:rsidRPr="00037410">
        <w:t>:</w:t>
      </w:r>
    </w:p>
    <w:p w14:paraId="0753428E" w14:textId="77777777" w:rsidR="00402F43" w:rsidRPr="00037410" w:rsidRDefault="00402F43" w:rsidP="00461817">
      <w:pPr>
        <w:pStyle w:val="NoSpacing"/>
        <w:numPr>
          <w:ilvl w:val="0"/>
          <w:numId w:val="1"/>
        </w:numPr>
        <w:bidi/>
        <w:rPr>
          <w:b/>
          <w:bCs/>
          <w:u w:val="single"/>
        </w:rPr>
      </w:pPr>
      <w:r w:rsidRPr="00037410">
        <w:rPr>
          <w:b/>
          <w:bCs/>
          <w:u w:val="single"/>
          <w:rtl/>
        </w:rPr>
        <w:t>משנה ברורה על שולחן ערוך אורח חיים הלכות בציעת הפת, סעודה, וברכת המזון סימן קעח סעיף ה</w:t>
      </w:r>
    </w:p>
    <w:p w14:paraId="23AF2356" w14:textId="5EBF32EF" w:rsidR="00402F43" w:rsidRPr="00037410" w:rsidRDefault="00402F43" w:rsidP="00461817">
      <w:pPr>
        <w:pStyle w:val="NoSpacing"/>
        <w:bidi/>
      </w:pPr>
      <w:r w:rsidRPr="00037410">
        <w:rPr>
          <w:rtl/>
        </w:rPr>
        <w:lastRenderedPageBreak/>
        <w:t>(מה) לבד - כתבו האחרונים דלכתחלה יחמיר לברך במקומן אפילו בז' מינים[לט] וכן לענין שינוי מקום א"צ לברך[מ] על כל השבעה מינים כמו על הפת אם שינה מקומו לפי מה שפסק בס"ב בהג"ה ודעת הגר"א בביאורו דדעה האמצעית היא העיקר לדינא ולפ"ז פירות של שבעת המינים דומים לסתם פירות דשייך בהו שינוי מקום לכו"ע</w:t>
      </w:r>
      <w:r w:rsidRPr="00037410">
        <w:t>:</w:t>
      </w:r>
    </w:p>
    <w:p w14:paraId="385C4586" w14:textId="77777777" w:rsidR="00037410" w:rsidRPr="00037410" w:rsidRDefault="00037410" w:rsidP="00037410">
      <w:pPr>
        <w:pStyle w:val="NoSpacing"/>
        <w:numPr>
          <w:ilvl w:val="0"/>
          <w:numId w:val="1"/>
        </w:numPr>
        <w:bidi/>
        <w:rPr>
          <w:b/>
          <w:bCs/>
          <w:u w:val="single"/>
        </w:rPr>
      </w:pPr>
      <w:r w:rsidRPr="00037410">
        <w:rPr>
          <w:rFonts w:cs="Arial"/>
          <w:b/>
          <w:bCs/>
          <w:u w:val="single"/>
          <w:rtl/>
        </w:rPr>
        <w:t>שולחן ערוך אורח חיים הלכות בציעת הפת, סעודה, וברכת המזון סימן קעט סעיף א</w:t>
      </w:r>
    </w:p>
    <w:p w14:paraId="6811D88F" w14:textId="323BF518" w:rsidR="00037410" w:rsidRPr="00037410" w:rsidRDefault="00037410" w:rsidP="00037410">
      <w:pPr>
        <w:pStyle w:val="NoSpacing"/>
        <w:bidi/>
        <w:rPr>
          <w:rFonts w:cs="Arial"/>
        </w:rPr>
      </w:pPr>
      <w:r w:rsidRPr="00037410">
        <w:rPr>
          <w:rFonts w:cs="Arial"/>
          <w:rtl/>
        </w:rPr>
        <w:t>א') גמר סעודתו &lt;א&gt; א] ונטל ידיו מים אחרונים, א ב] אינו יכול (א) לאכול ולא לשתות, * (ב) ב א'] ג] א} עד שיברך בהמ"ז; {א} ואם אמר: (ג) הב לן ונברך, הוי היסח הדעת ד] ואסור לו (ד) לשתות אלא א"כ יברך עליו תחלה, (ה) ואכילה דינה כשתיה להרא"ש; אבל להר"ר יונה והר"ן &lt;ב&gt; ה] אכילה שאני, שאע"פ (ו) שסילק ידו מלאכול * (ז) ואפילו סלקו השלחן * אם רצה (ח) לחזור לאכילתו * א"צ לברך פעם אחרת, שכל שלא נטל ידיו (ט) לא נסתלק לגמרי מאכילה.</w:t>
      </w:r>
    </w:p>
    <w:p w14:paraId="096B9D16" w14:textId="77777777" w:rsidR="00037410" w:rsidRPr="00037410" w:rsidRDefault="00037410" w:rsidP="00037410">
      <w:pPr>
        <w:pStyle w:val="NoSpacing"/>
        <w:numPr>
          <w:ilvl w:val="0"/>
          <w:numId w:val="1"/>
        </w:numPr>
        <w:bidi/>
        <w:rPr>
          <w:b/>
          <w:bCs/>
          <w:u w:val="single"/>
        </w:rPr>
      </w:pPr>
      <w:r w:rsidRPr="00037410">
        <w:rPr>
          <w:rFonts w:cs="Arial"/>
          <w:b/>
          <w:bCs/>
          <w:u w:val="single"/>
          <w:rtl/>
        </w:rPr>
        <w:t>ביאור הלכה סימן קעט סעיף א</w:t>
      </w:r>
    </w:p>
    <w:p w14:paraId="4136749B" w14:textId="00760361" w:rsidR="00037410" w:rsidRPr="00037410" w:rsidRDefault="00037410" w:rsidP="00037410">
      <w:pPr>
        <w:pStyle w:val="NoSpacing"/>
        <w:bidi/>
      </w:pPr>
      <w:r w:rsidRPr="00037410">
        <w:rPr>
          <w:rFonts w:cs="Arial"/>
          <w:rtl/>
        </w:rPr>
        <w:t>* אם רצה לחזור לאכילתו וכו' - עיין בפמ"ג שכתב דלאו דוקא בפת ה"ה בשאר מידי דמזון ג"כ לא נסתלק להרר"י ור"ן באומר נברך ברכה אחרונה ואם רוצה לאכול עוד רשאי בלא ברכה ראשונה:</w:t>
      </w:r>
    </w:p>
    <w:p w14:paraId="40471029" w14:textId="77777777" w:rsidR="003B57DC" w:rsidRPr="00037410" w:rsidRDefault="003B57DC" w:rsidP="00037410">
      <w:pPr>
        <w:pStyle w:val="NoSpacing"/>
        <w:numPr>
          <w:ilvl w:val="0"/>
          <w:numId w:val="1"/>
        </w:numPr>
        <w:bidi/>
        <w:rPr>
          <w:b/>
          <w:bCs/>
          <w:u w:val="single"/>
        </w:rPr>
      </w:pPr>
      <w:r w:rsidRPr="00037410">
        <w:rPr>
          <w:rFonts w:cs="Arial"/>
          <w:b/>
          <w:bCs/>
          <w:u w:val="single"/>
          <w:rtl/>
        </w:rPr>
        <w:t>שולחן ערוך אורח חיים הלכות ברכת הפירות סימן רו סעיף ה</w:t>
      </w:r>
    </w:p>
    <w:p w14:paraId="42849BB9" w14:textId="21CEEEED" w:rsidR="003B57DC" w:rsidRPr="00037410" w:rsidRDefault="003B57DC" w:rsidP="003B57DC">
      <w:pPr>
        <w:pStyle w:val="NoSpacing"/>
        <w:bidi/>
        <w:rPr>
          <w:rFonts w:cs="Arial"/>
        </w:rPr>
      </w:pPr>
      <w:r w:rsidRPr="00037410">
        <w:rPr>
          <w:rFonts w:cs="Arial"/>
          <w:rtl/>
        </w:rPr>
        <w:t>ד) אין מברכין לא על אוכל ולא על משקה, עד שיביאוהו לפניו; &lt;ו&gt; ברך ואחר כך הביאוהו לפניו, (יט) צריך לברך פעם אחרת; אבל מי שברך על פירות שלפניו (כ) ואחר כך הביאו לו יותר מאותו המין, {ה} ז] או (כא) &lt;ז&gt; ממין אחר (כב) שברכתו כברכת הראשון, ז [ד] ה') ג} אינו צריך לברך. הגה: וטוב (כג) ליזהר לכתחלה להיות דעתו על כל מה שיביאו לו (בית יוסף טור י"ד סימן י"ט).</w:t>
      </w:r>
    </w:p>
    <w:p w14:paraId="6A15BDDB" w14:textId="77777777" w:rsidR="003B57DC" w:rsidRPr="00037410" w:rsidRDefault="003B57DC" w:rsidP="00037410">
      <w:pPr>
        <w:pStyle w:val="NoSpacing"/>
        <w:numPr>
          <w:ilvl w:val="0"/>
          <w:numId w:val="1"/>
        </w:numPr>
        <w:bidi/>
        <w:rPr>
          <w:b/>
          <w:bCs/>
          <w:u w:val="single"/>
        </w:rPr>
      </w:pPr>
      <w:r w:rsidRPr="00037410">
        <w:rPr>
          <w:rFonts w:cs="Arial"/>
          <w:b/>
          <w:bCs/>
          <w:u w:val="single"/>
          <w:rtl/>
        </w:rPr>
        <w:t>משנה ברורה סימן רו ס"ק כב</w:t>
      </w:r>
    </w:p>
    <w:p w14:paraId="1AB0CC39" w14:textId="5F216CD3" w:rsidR="003B57DC" w:rsidRPr="00037410" w:rsidRDefault="003B57DC" w:rsidP="003B57DC">
      <w:pPr>
        <w:pStyle w:val="NoSpacing"/>
        <w:bidi/>
      </w:pPr>
      <w:r w:rsidRPr="00037410">
        <w:rPr>
          <w:rFonts w:cs="Arial"/>
          <w:rtl/>
        </w:rPr>
        <w:t>(כב) שברכתו וכו' - כמה[כג] אחרונים חולקים בדין זה וס"ל דדוקא באותו המין ממש הוא דפוטר בברכתו בסתמא אף לאותן פירות שהביאו לו אח"כ אבל למין אחר לא מהני ברכתו בסתמא וצריך לברך ומ"מ אם הביאו לו המין האחר בעוד שלא כלה מין הראשון נראה[כד] שאין לברך כיון שהביאו לו בשעה שהיה עסוק עדיין באכילה וכן נראה להלכה. ויש מן[כה] האחרונים שכתבו עוד דאם קבע עצמו לאכילת הפירות אף שבירך בסתמא על הפירות שהיו לפניו והביאו לו מין אחר שכלה המין הראשון א"צ לחזור ולברך דכיון דקבע עצמו לאכילה אינו מסיח דעתו מזה:</w:t>
      </w:r>
    </w:p>
    <w:sectPr w:rsidR="003B57DC" w:rsidRPr="0003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772"/>
    <w:multiLevelType w:val="hybridMultilevel"/>
    <w:tmpl w:val="3FDE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F3"/>
    <w:rsid w:val="00037410"/>
    <w:rsid w:val="003B57DC"/>
    <w:rsid w:val="00402F43"/>
    <w:rsid w:val="00461817"/>
    <w:rsid w:val="005864F3"/>
    <w:rsid w:val="00751809"/>
    <w:rsid w:val="00B407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F550"/>
  <w15:chartTrackingRefBased/>
  <w15:docId w15:val="{A5D4F784-EE0F-4D5B-B54A-AB8BAC98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Hayim Soloveichik</dc:creator>
  <cp:keywords/>
  <dc:description/>
  <cp:lastModifiedBy>Hayim Soloveichik</cp:lastModifiedBy>
  <cp:revision>2</cp:revision>
  <dcterms:created xsi:type="dcterms:W3CDTF">2019-11-14T14:13:00Z</dcterms:created>
  <dcterms:modified xsi:type="dcterms:W3CDTF">2019-11-15T12:22:00Z</dcterms:modified>
</cp:coreProperties>
</file>