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FAB37" w14:textId="364ABC61" w:rsidR="00BC5682" w:rsidRPr="001A5A35" w:rsidRDefault="00BC5682" w:rsidP="00BC5682">
      <w:pPr>
        <w:ind w:left="770" w:hanging="360"/>
        <w:jc w:val="center"/>
        <w:rPr>
          <w:rFonts w:asciiTheme="majorBidi" w:hAnsiTheme="majorBidi" w:cstheme="majorBidi"/>
          <w:b/>
          <w:bCs/>
        </w:rPr>
      </w:pPr>
      <w:proofErr w:type="spellStart"/>
      <w:r w:rsidRPr="001A5A35">
        <w:rPr>
          <w:rFonts w:asciiTheme="majorBidi" w:hAnsiTheme="majorBidi" w:cstheme="majorBidi"/>
          <w:b/>
          <w:bCs/>
        </w:rPr>
        <w:t>Harvacha</w:t>
      </w:r>
      <w:proofErr w:type="spellEnd"/>
    </w:p>
    <w:p w14:paraId="65A46EF2" w14:textId="49FA2B96" w:rsidR="004A5C0D" w:rsidRPr="001A5A35" w:rsidRDefault="00D73056" w:rsidP="00D73056">
      <w:pPr>
        <w:pStyle w:val="ListParagraph"/>
        <w:numPr>
          <w:ilvl w:val="0"/>
          <w:numId w:val="1"/>
        </w:numPr>
        <w:rPr>
          <w:rFonts w:asciiTheme="majorBidi" w:hAnsiTheme="majorBidi" w:cstheme="majorBidi"/>
          <w:b/>
          <w:bCs/>
        </w:rPr>
      </w:pPr>
      <w:r w:rsidRPr="001A5A35">
        <w:rPr>
          <w:rFonts w:asciiTheme="majorBidi" w:hAnsiTheme="majorBidi" w:cstheme="majorBidi"/>
          <w:b/>
          <w:bCs/>
        </w:rPr>
        <w:t>Review</w:t>
      </w:r>
    </w:p>
    <w:p w14:paraId="1D66F2A9" w14:textId="3FEB87FF" w:rsidR="00D73056" w:rsidRPr="001A5A35" w:rsidRDefault="00D73056" w:rsidP="00D73056">
      <w:pPr>
        <w:pStyle w:val="ListParagraph"/>
        <w:numPr>
          <w:ilvl w:val="1"/>
          <w:numId w:val="1"/>
        </w:numPr>
        <w:rPr>
          <w:rFonts w:asciiTheme="majorBidi" w:hAnsiTheme="majorBidi" w:cstheme="majorBidi"/>
        </w:rPr>
      </w:pPr>
      <w:r w:rsidRPr="001A5A35">
        <w:rPr>
          <w:rFonts w:asciiTheme="majorBidi" w:hAnsiTheme="majorBidi" w:cstheme="majorBidi"/>
        </w:rPr>
        <w:t xml:space="preserve">The Mishna on 2a presents a prohibition to do business with non-Jews on the days surrounding their holidays.  The </w:t>
      </w:r>
      <w:proofErr w:type="spellStart"/>
      <w:r w:rsidRPr="001A5A35">
        <w:rPr>
          <w:rFonts w:asciiTheme="majorBidi" w:hAnsiTheme="majorBidi" w:cstheme="majorBidi"/>
        </w:rPr>
        <w:t>Gemara</w:t>
      </w:r>
      <w:proofErr w:type="spellEnd"/>
      <w:r w:rsidRPr="001A5A35">
        <w:rPr>
          <w:rFonts w:asciiTheme="majorBidi" w:hAnsiTheme="majorBidi" w:cstheme="majorBidi"/>
        </w:rPr>
        <w:t xml:space="preserve"> on 6a-b offers two rationales for this prohibition.  </w:t>
      </w:r>
    </w:p>
    <w:p w14:paraId="6D239F2D" w14:textId="3BFC06C3" w:rsidR="00D73056" w:rsidRPr="001A5A35" w:rsidRDefault="00D73056" w:rsidP="00D73056">
      <w:pPr>
        <w:pStyle w:val="ListParagraph"/>
        <w:numPr>
          <w:ilvl w:val="2"/>
          <w:numId w:val="1"/>
        </w:numPr>
        <w:rPr>
          <w:rFonts w:asciiTheme="majorBidi" w:hAnsiTheme="majorBidi" w:cstheme="majorBidi"/>
        </w:rPr>
      </w:pPr>
      <w:proofErr w:type="spellStart"/>
      <w:r w:rsidRPr="001A5A35">
        <w:rPr>
          <w:rFonts w:asciiTheme="majorBidi" w:hAnsiTheme="majorBidi" w:cstheme="majorBidi"/>
        </w:rPr>
        <w:t>Lifnei</w:t>
      </w:r>
      <w:proofErr w:type="spellEnd"/>
      <w:r w:rsidRPr="001A5A35">
        <w:rPr>
          <w:rFonts w:asciiTheme="majorBidi" w:hAnsiTheme="majorBidi" w:cstheme="majorBidi"/>
        </w:rPr>
        <w:t xml:space="preserve"> </w:t>
      </w:r>
      <w:proofErr w:type="spellStart"/>
      <w:r w:rsidRPr="001A5A35">
        <w:rPr>
          <w:rFonts w:asciiTheme="majorBidi" w:hAnsiTheme="majorBidi" w:cstheme="majorBidi"/>
        </w:rPr>
        <w:t>Iver</w:t>
      </w:r>
      <w:proofErr w:type="spellEnd"/>
      <w:r w:rsidRPr="001A5A35">
        <w:rPr>
          <w:rFonts w:asciiTheme="majorBidi" w:hAnsiTheme="majorBidi" w:cstheme="majorBidi"/>
        </w:rPr>
        <w:t xml:space="preserve"> – we have discussed this at length.  </w:t>
      </w:r>
    </w:p>
    <w:p w14:paraId="4E9C3810" w14:textId="1DB32666" w:rsidR="00D73056" w:rsidRPr="001A5A35" w:rsidRDefault="00D73056" w:rsidP="00D73056">
      <w:pPr>
        <w:pStyle w:val="ListParagraph"/>
        <w:numPr>
          <w:ilvl w:val="2"/>
          <w:numId w:val="1"/>
        </w:numPr>
        <w:rPr>
          <w:rFonts w:asciiTheme="majorBidi" w:hAnsiTheme="majorBidi" w:cstheme="majorBidi"/>
        </w:rPr>
      </w:pPr>
      <w:r w:rsidRPr="001A5A35">
        <w:rPr>
          <w:rFonts w:asciiTheme="majorBidi" w:hAnsiTheme="majorBidi" w:cstheme="majorBidi"/>
          <w:rtl/>
        </w:rPr>
        <w:t xml:space="preserve">הרוחה </w:t>
      </w:r>
      <w:r w:rsidRPr="001A5A35">
        <w:rPr>
          <w:rFonts w:asciiTheme="majorBidi" w:hAnsiTheme="majorBidi" w:cstheme="majorBidi"/>
        </w:rPr>
        <w:t xml:space="preserve">– this is what we want to understand now.  </w:t>
      </w:r>
    </w:p>
    <w:p w14:paraId="7CD4CFD9" w14:textId="77777777" w:rsidR="00212588" w:rsidRPr="001A5A35" w:rsidRDefault="00212588" w:rsidP="00212588">
      <w:pPr>
        <w:pStyle w:val="ListParagraph"/>
        <w:ind w:left="2210"/>
        <w:rPr>
          <w:rFonts w:asciiTheme="majorBidi" w:hAnsiTheme="majorBidi" w:cstheme="majorBidi"/>
        </w:rPr>
      </w:pPr>
    </w:p>
    <w:p w14:paraId="01AF5F66" w14:textId="0A1F208E" w:rsidR="00D73056" w:rsidRPr="001A5A35" w:rsidRDefault="00D73056" w:rsidP="00D73056">
      <w:pPr>
        <w:pStyle w:val="ListParagraph"/>
        <w:numPr>
          <w:ilvl w:val="0"/>
          <w:numId w:val="1"/>
        </w:numPr>
        <w:rPr>
          <w:rFonts w:asciiTheme="majorBidi" w:hAnsiTheme="majorBidi" w:cstheme="majorBidi"/>
          <w:b/>
          <w:bCs/>
        </w:rPr>
      </w:pPr>
      <w:r w:rsidRPr="001A5A35">
        <w:rPr>
          <w:rFonts w:asciiTheme="majorBidi" w:hAnsiTheme="majorBidi" w:cstheme="majorBidi"/>
          <w:b/>
          <w:bCs/>
        </w:rPr>
        <w:t xml:space="preserve">What is </w:t>
      </w:r>
      <w:r w:rsidRPr="001A5A35">
        <w:rPr>
          <w:rFonts w:asciiTheme="majorBidi" w:hAnsiTheme="majorBidi" w:cstheme="majorBidi"/>
          <w:b/>
          <w:bCs/>
          <w:rtl/>
        </w:rPr>
        <w:t>הרוחה</w:t>
      </w:r>
      <w:r w:rsidRPr="001A5A35">
        <w:rPr>
          <w:rFonts w:asciiTheme="majorBidi" w:hAnsiTheme="majorBidi" w:cstheme="majorBidi"/>
          <w:b/>
          <w:bCs/>
        </w:rPr>
        <w:t>?</w:t>
      </w:r>
    </w:p>
    <w:p w14:paraId="673097FD" w14:textId="386FC8BC" w:rsidR="00D73056" w:rsidRPr="001A5A35" w:rsidRDefault="00D73056" w:rsidP="00D73056">
      <w:pPr>
        <w:pStyle w:val="ListParagraph"/>
        <w:numPr>
          <w:ilvl w:val="1"/>
          <w:numId w:val="1"/>
        </w:numPr>
        <w:rPr>
          <w:rFonts w:asciiTheme="majorBidi" w:hAnsiTheme="majorBidi" w:cstheme="majorBidi"/>
        </w:rPr>
      </w:pPr>
      <w:r w:rsidRPr="001A5A35">
        <w:rPr>
          <w:rFonts w:asciiTheme="majorBidi" w:hAnsiTheme="majorBidi" w:cstheme="majorBidi"/>
        </w:rPr>
        <w:t>See</w:t>
      </w:r>
      <w:r w:rsidRPr="001A5A35">
        <w:rPr>
          <w:rFonts w:asciiTheme="majorBidi" w:hAnsiTheme="majorBidi" w:cstheme="majorBidi"/>
          <w:rtl/>
        </w:rPr>
        <w:t xml:space="preserve"> </w:t>
      </w:r>
      <w:proofErr w:type="spellStart"/>
      <w:r w:rsidRPr="001A5A35">
        <w:rPr>
          <w:rFonts w:asciiTheme="majorBidi" w:hAnsiTheme="majorBidi" w:cstheme="majorBidi"/>
        </w:rPr>
        <w:t>Rashi</w:t>
      </w:r>
      <w:proofErr w:type="spellEnd"/>
      <w:r w:rsidRPr="001A5A35">
        <w:rPr>
          <w:rFonts w:asciiTheme="majorBidi" w:hAnsiTheme="majorBidi" w:cstheme="majorBidi"/>
        </w:rPr>
        <w:t xml:space="preserve"> on 6a </w:t>
      </w:r>
      <w:r w:rsidRPr="001A5A35">
        <w:rPr>
          <w:rFonts w:asciiTheme="majorBidi" w:hAnsiTheme="majorBidi" w:cstheme="majorBidi"/>
          <w:rtl/>
        </w:rPr>
        <w:t>ד"ה משום הרוחה</w:t>
      </w:r>
      <w:r w:rsidRPr="001A5A35">
        <w:rPr>
          <w:rFonts w:asciiTheme="majorBidi" w:hAnsiTheme="majorBidi" w:cstheme="majorBidi"/>
        </w:rPr>
        <w:t>.</w:t>
      </w:r>
    </w:p>
    <w:p w14:paraId="44F06F6C" w14:textId="749AD67A" w:rsidR="00D73056" w:rsidRPr="001A5A35" w:rsidRDefault="00D73056" w:rsidP="00D73056">
      <w:pPr>
        <w:pStyle w:val="ListParagraph"/>
        <w:numPr>
          <w:ilvl w:val="2"/>
          <w:numId w:val="1"/>
        </w:numPr>
        <w:rPr>
          <w:rFonts w:asciiTheme="majorBidi" w:hAnsiTheme="majorBidi" w:cstheme="majorBidi"/>
        </w:rPr>
      </w:pPr>
      <w:r w:rsidRPr="001A5A35">
        <w:rPr>
          <w:rFonts w:asciiTheme="majorBidi" w:hAnsiTheme="majorBidi" w:cstheme="majorBidi"/>
        </w:rPr>
        <w:t>How does he understand this?</w:t>
      </w:r>
    </w:p>
    <w:p w14:paraId="73230E8A" w14:textId="7B303378" w:rsidR="00D73056" w:rsidRPr="001A5A35" w:rsidRDefault="00D73056" w:rsidP="00D73056">
      <w:pPr>
        <w:pStyle w:val="ListParagraph"/>
        <w:numPr>
          <w:ilvl w:val="2"/>
          <w:numId w:val="1"/>
        </w:numPr>
        <w:rPr>
          <w:rFonts w:asciiTheme="majorBidi" w:hAnsiTheme="majorBidi" w:cstheme="majorBidi"/>
        </w:rPr>
      </w:pPr>
      <w:r w:rsidRPr="001A5A35">
        <w:rPr>
          <w:rFonts w:asciiTheme="majorBidi" w:hAnsiTheme="majorBidi" w:cstheme="majorBidi"/>
        </w:rPr>
        <w:t xml:space="preserve">What is the difference between this and </w:t>
      </w:r>
      <w:r w:rsidRPr="001A5A35">
        <w:rPr>
          <w:rFonts w:asciiTheme="majorBidi" w:hAnsiTheme="majorBidi" w:cstheme="majorBidi"/>
          <w:rtl/>
        </w:rPr>
        <w:t>לפני עור</w:t>
      </w:r>
      <w:r w:rsidRPr="001A5A35">
        <w:rPr>
          <w:rFonts w:asciiTheme="majorBidi" w:hAnsiTheme="majorBidi" w:cstheme="majorBidi"/>
        </w:rPr>
        <w:t>?</w:t>
      </w:r>
    </w:p>
    <w:p w14:paraId="033371DE" w14:textId="7085ECBE" w:rsidR="00D4416C" w:rsidRPr="001A5A35" w:rsidRDefault="00D4416C" w:rsidP="00D4416C">
      <w:pPr>
        <w:pStyle w:val="ListParagraph"/>
        <w:numPr>
          <w:ilvl w:val="1"/>
          <w:numId w:val="1"/>
        </w:numPr>
        <w:rPr>
          <w:rFonts w:asciiTheme="majorBidi" w:hAnsiTheme="majorBidi" w:cstheme="majorBidi"/>
        </w:rPr>
      </w:pPr>
      <w:r w:rsidRPr="001A5A35">
        <w:rPr>
          <w:rFonts w:asciiTheme="majorBidi" w:hAnsiTheme="majorBidi" w:cstheme="majorBidi"/>
        </w:rPr>
        <w:t xml:space="preserve">See </w:t>
      </w:r>
      <w:proofErr w:type="spellStart"/>
      <w:r w:rsidRPr="001A5A35">
        <w:rPr>
          <w:rFonts w:asciiTheme="majorBidi" w:hAnsiTheme="majorBidi" w:cstheme="majorBidi"/>
        </w:rPr>
        <w:t>Ritva</w:t>
      </w:r>
      <w:proofErr w:type="spellEnd"/>
      <w:r w:rsidRPr="001A5A35">
        <w:rPr>
          <w:rFonts w:asciiTheme="majorBidi" w:hAnsiTheme="majorBidi" w:cstheme="majorBidi"/>
        </w:rPr>
        <w:t xml:space="preserve"> on 2a, </w:t>
      </w:r>
      <w:r w:rsidRPr="001A5A35">
        <w:rPr>
          <w:rFonts w:asciiTheme="majorBidi" w:hAnsiTheme="majorBidi" w:cstheme="majorBidi"/>
          <w:rtl/>
        </w:rPr>
        <w:t>ד"ה אבל ר"ת</w:t>
      </w:r>
    </w:p>
    <w:p w14:paraId="5CD827F6" w14:textId="53AE4908" w:rsidR="00D4416C" w:rsidRPr="001A5A35" w:rsidRDefault="00D4416C" w:rsidP="00D4416C">
      <w:pPr>
        <w:pStyle w:val="ListParagraph"/>
        <w:numPr>
          <w:ilvl w:val="2"/>
          <w:numId w:val="1"/>
        </w:numPr>
        <w:rPr>
          <w:rFonts w:asciiTheme="majorBidi" w:hAnsiTheme="majorBidi" w:cstheme="majorBidi"/>
        </w:rPr>
      </w:pPr>
      <w:r w:rsidRPr="001A5A35">
        <w:rPr>
          <w:rFonts w:asciiTheme="majorBidi" w:hAnsiTheme="majorBidi" w:cstheme="majorBidi"/>
        </w:rPr>
        <w:t>How does he understand it?</w:t>
      </w:r>
    </w:p>
    <w:p w14:paraId="603497F6" w14:textId="40DD056D" w:rsidR="00D4416C" w:rsidRPr="001A5A35" w:rsidRDefault="00D4416C" w:rsidP="00D4416C">
      <w:pPr>
        <w:pStyle w:val="ListParagraph"/>
        <w:numPr>
          <w:ilvl w:val="1"/>
          <w:numId w:val="1"/>
        </w:numPr>
        <w:rPr>
          <w:rFonts w:asciiTheme="majorBidi" w:hAnsiTheme="majorBidi" w:cstheme="majorBidi"/>
        </w:rPr>
      </w:pPr>
      <w:r w:rsidRPr="001A5A35">
        <w:rPr>
          <w:rFonts w:asciiTheme="majorBidi" w:hAnsiTheme="majorBidi" w:cstheme="majorBidi"/>
        </w:rPr>
        <w:t>What are the implications of this for the wider topic?</w:t>
      </w:r>
    </w:p>
    <w:p w14:paraId="3D50833F" w14:textId="77777777" w:rsidR="00D73056" w:rsidRPr="001A5A35" w:rsidRDefault="00D73056" w:rsidP="00D73056">
      <w:pPr>
        <w:pStyle w:val="ListParagraph"/>
        <w:ind w:left="2210"/>
        <w:rPr>
          <w:rFonts w:asciiTheme="majorBidi" w:hAnsiTheme="majorBidi" w:cstheme="majorBidi"/>
        </w:rPr>
      </w:pPr>
    </w:p>
    <w:p w14:paraId="0B73D6A5" w14:textId="18E879FD" w:rsidR="00D73056" w:rsidRPr="001A5A35" w:rsidRDefault="00D73056" w:rsidP="00D73056">
      <w:pPr>
        <w:pStyle w:val="ListParagraph"/>
        <w:numPr>
          <w:ilvl w:val="0"/>
          <w:numId w:val="1"/>
        </w:numPr>
        <w:rPr>
          <w:rFonts w:asciiTheme="majorBidi" w:hAnsiTheme="majorBidi" w:cstheme="majorBidi"/>
          <w:b/>
          <w:bCs/>
        </w:rPr>
      </w:pPr>
      <w:r w:rsidRPr="001A5A35">
        <w:rPr>
          <w:rFonts w:asciiTheme="majorBidi" w:hAnsiTheme="majorBidi" w:cstheme="majorBidi"/>
          <w:b/>
          <w:bCs/>
        </w:rPr>
        <w:t>Are the reasons exclusive?</w:t>
      </w:r>
    </w:p>
    <w:p w14:paraId="299C9995" w14:textId="5CE9FC97" w:rsidR="00D73056" w:rsidRPr="001A5A35" w:rsidRDefault="00D73056" w:rsidP="00D73056">
      <w:pPr>
        <w:pStyle w:val="ListParagraph"/>
        <w:numPr>
          <w:ilvl w:val="1"/>
          <w:numId w:val="1"/>
        </w:numPr>
        <w:rPr>
          <w:rFonts w:asciiTheme="majorBidi" w:hAnsiTheme="majorBidi" w:cstheme="majorBidi"/>
        </w:rPr>
      </w:pPr>
      <w:r w:rsidRPr="001A5A35">
        <w:rPr>
          <w:rFonts w:asciiTheme="majorBidi" w:hAnsiTheme="majorBidi" w:cstheme="majorBidi"/>
        </w:rPr>
        <w:t xml:space="preserve">See </w:t>
      </w:r>
      <w:proofErr w:type="spellStart"/>
      <w:r w:rsidRPr="001A5A35">
        <w:rPr>
          <w:rFonts w:asciiTheme="majorBidi" w:hAnsiTheme="majorBidi" w:cstheme="majorBidi"/>
        </w:rPr>
        <w:t>Ritva</w:t>
      </w:r>
      <w:proofErr w:type="spellEnd"/>
      <w:r w:rsidRPr="001A5A35">
        <w:rPr>
          <w:rFonts w:asciiTheme="majorBidi" w:hAnsiTheme="majorBidi" w:cstheme="majorBidi"/>
        </w:rPr>
        <w:t xml:space="preserve"> at the end of 6a, </w:t>
      </w:r>
      <w:r w:rsidRPr="001A5A35">
        <w:rPr>
          <w:rFonts w:asciiTheme="majorBidi" w:hAnsiTheme="majorBidi" w:cstheme="majorBidi"/>
          <w:rtl/>
        </w:rPr>
        <w:t>ד"ה משום</w:t>
      </w:r>
      <w:r w:rsidRPr="001A5A35">
        <w:rPr>
          <w:rFonts w:asciiTheme="majorBidi" w:hAnsiTheme="majorBidi" w:cstheme="majorBidi"/>
        </w:rPr>
        <w:t>.</w:t>
      </w:r>
      <w:r w:rsidR="00F41C5F" w:rsidRPr="001A5A35">
        <w:rPr>
          <w:rFonts w:asciiTheme="majorBidi" w:hAnsiTheme="majorBidi" w:cstheme="majorBidi"/>
          <w:rtl/>
        </w:rPr>
        <w:t xml:space="preserve">  </w:t>
      </w:r>
    </w:p>
    <w:p w14:paraId="178C0367" w14:textId="6E3A67FF" w:rsidR="00F41C5F" w:rsidRPr="001A5A35" w:rsidRDefault="00F41C5F" w:rsidP="00D73056">
      <w:pPr>
        <w:pStyle w:val="ListParagraph"/>
        <w:numPr>
          <w:ilvl w:val="1"/>
          <w:numId w:val="1"/>
        </w:numPr>
        <w:rPr>
          <w:rFonts w:asciiTheme="majorBidi" w:hAnsiTheme="majorBidi" w:cstheme="majorBidi"/>
        </w:rPr>
      </w:pPr>
      <w:r w:rsidRPr="001A5A35">
        <w:rPr>
          <w:rFonts w:asciiTheme="majorBidi" w:hAnsiTheme="majorBidi" w:cstheme="majorBidi"/>
        </w:rPr>
        <w:t xml:space="preserve">Does it sound this way from </w:t>
      </w:r>
      <w:proofErr w:type="spellStart"/>
      <w:r w:rsidRPr="001A5A35">
        <w:rPr>
          <w:rFonts w:asciiTheme="majorBidi" w:hAnsiTheme="majorBidi" w:cstheme="majorBidi"/>
        </w:rPr>
        <w:t>Rashi</w:t>
      </w:r>
      <w:proofErr w:type="spellEnd"/>
      <w:r w:rsidRPr="001A5A35">
        <w:rPr>
          <w:rFonts w:asciiTheme="majorBidi" w:hAnsiTheme="majorBidi" w:cstheme="majorBidi"/>
        </w:rPr>
        <w:t>?</w:t>
      </w:r>
    </w:p>
    <w:p w14:paraId="51B48CB5" w14:textId="115D79BE" w:rsidR="00477EC4" w:rsidRPr="001A5A35" w:rsidRDefault="00477EC4" w:rsidP="00D73056">
      <w:pPr>
        <w:pStyle w:val="ListParagraph"/>
        <w:numPr>
          <w:ilvl w:val="1"/>
          <w:numId w:val="1"/>
        </w:numPr>
        <w:rPr>
          <w:rFonts w:asciiTheme="majorBidi" w:hAnsiTheme="majorBidi" w:cstheme="majorBidi"/>
        </w:rPr>
      </w:pPr>
      <w:r w:rsidRPr="001A5A35">
        <w:rPr>
          <w:rFonts w:asciiTheme="majorBidi" w:hAnsiTheme="majorBidi" w:cstheme="majorBidi"/>
        </w:rPr>
        <w:t xml:space="preserve">See </w:t>
      </w:r>
      <w:proofErr w:type="spellStart"/>
      <w:r w:rsidRPr="001A5A35">
        <w:rPr>
          <w:rFonts w:asciiTheme="majorBidi" w:hAnsiTheme="majorBidi" w:cstheme="majorBidi"/>
        </w:rPr>
        <w:t>Taz</w:t>
      </w:r>
      <w:proofErr w:type="spellEnd"/>
      <w:r w:rsidRPr="001A5A35">
        <w:rPr>
          <w:rFonts w:asciiTheme="majorBidi" w:hAnsiTheme="majorBidi" w:cstheme="majorBidi"/>
        </w:rPr>
        <w:t xml:space="preserve"> who grapples with the implications of </w:t>
      </w:r>
      <w:proofErr w:type="spellStart"/>
      <w:r w:rsidRPr="001A5A35">
        <w:rPr>
          <w:rFonts w:asciiTheme="majorBidi" w:hAnsiTheme="majorBidi" w:cstheme="majorBidi"/>
        </w:rPr>
        <w:t>Rashi</w:t>
      </w:r>
      <w:proofErr w:type="spellEnd"/>
    </w:p>
    <w:p w14:paraId="34BF995D" w14:textId="6452C8C9" w:rsidR="00433A06" w:rsidRPr="0088601D" w:rsidRDefault="00433A06" w:rsidP="001A5A35">
      <w:pPr>
        <w:pStyle w:val="NoSpacing"/>
        <w:bidi/>
        <w:rPr>
          <w:rFonts w:asciiTheme="majorBidi" w:hAnsiTheme="majorBidi" w:cstheme="majorBidi"/>
          <w:b/>
          <w:bCs/>
          <w:rtl/>
        </w:rPr>
      </w:pPr>
      <w:r w:rsidRPr="0088601D">
        <w:rPr>
          <w:rFonts w:asciiTheme="majorBidi" w:hAnsiTheme="majorBidi" w:cstheme="majorBidi"/>
          <w:b/>
          <w:bCs/>
          <w:rtl/>
        </w:rPr>
        <w:t>ט"ז יורה דעה קמח:ג</w:t>
      </w:r>
    </w:p>
    <w:p w14:paraId="03310A07" w14:textId="56EDAF65" w:rsidR="00477EC4" w:rsidRPr="001A5A35" w:rsidRDefault="00477EC4" w:rsidP="001A5A35">
      <w:pPr>
        <w:pStyle w:val="NoSpacing"/>
        <w:bidi/>
        <w:rPr>
          <w:rFonts w:asciiTheme="majorBidi" w:hAnsiTheme="majorBidi" w:cstheme="majorBidi"/>
        </w:rPr>
      </w:pPr>
      <w:r w:rsidRPr="001A5A35">
        <w:rPr>
          <w:rFonts w:asciiTheme="majorBidi" w:hAnsiTheme="majorBidi" w:cstheme="majorBidi"/>
          <w:rtl/>
        </w:rPr>
        <w:t>ומו"ח ז"ל הקשה למה פרש"י דבמודה לאליל עובר על לא ישמע ואמאי לא אסור משום לפני עור ותירץ דבמודה ליכא לפני עור דה"ל כמו גיפוף ונישוק דאין העובד כוכבים מוזהר עליו כיון שגם הישראל אינו חייב מיתה עליו ותמהתי כאן דודאי ישראל חייב מיתה במודה לעבודת כוכבים כדאי' פרק ארבע מיתות (דף ס') מתניתין באומר אלי אתה כו' ובהדיא אמרינן כל המודה בעבודת כוכבים ככופר בכל התורה וקושיא מעיקרא אין כאן דהא מבואר שם בגמרא פ"ק דעבודת כוכבים (דף ו') דאין שייך לפני עור אלא במקום שא"א לעובד כוכבים לעשות זולת הישראל כמו במושיט כוס יין לנזיר דקאי בתרי עברי דנהרא שלא היה אפשר לנזיר ליקח היין אבל אם היה אפשר לו רק שהישראל מסייע ומקרב לו הדבר אין כאן לפני עור וכמ"ש המרדכי ריש עבודת כוכבים הביאו רמ"א סימן קנ"א לענין למכור להם השייכים לעבודתם אם יוכלו לקנות במקום אחר ואפילו להיש מחמירין שמביא שם היינו מדרבנן ולא מן התורה אבל משום לא ישמע יש כאן שמ"מ על ידו נשמע אע"פ שבלאו הכי היה ג"כ נשמע דמ"מ עכשיו נשמע על פיך</w:t>
      </w:r>
      <w:r w:rsidRPr="001A5A35">
        <w:rPr>
          <w:rFonts w:asciiTheme="majorBidi" w:hAnsiTheme="majorBidi" w:cstheme="majorBidi"/>
        </w:rPr>
        <w:t>:</w:t>
      </w:r>
    </w:p>
    <w:p w14:paraId="387225E3" w14:textId="77777777" w:rsidR="00F41C5F" w:rsidRPr="001A5A35" w:rsidRDefault="00F41C5F" w:rsidP="00F41C5F">
      <w:pPr>
        <w:pStyle w:val="ListParagraph"/>
        <w:ind w:left="1490"/>
        <w:rPr>
          <w:rFonts w:asciiTheme="majorBidi" w:hAnsiTheme="majorBidi" w:cstheme="majorBidi"/>
        </w:rPr>
      </w:pPr>
    </w:p>
    <w:p w14:paraId="404B4A05" w14:textId="49A3AC91" w:rsidR="00F41C5F" w:rsidRPr="001A5A35" w:rsidRDefault="00F41C5F" w:rsidP="00F41C5F">
      <w:pPr>
        <w:pStyle w:val="ListParagraph"/>
        <w:numPr>
          <w:ilvl w:val="0"/>
          <w:numId w:val="1"/>
        </w:numPr>
        <w:rPr>
          <w:rFonts w:asciiTheme="majorBidi" w:hAnsiTheme="majorBidi" w:cstheme="majorBidi"/>
          <w:b/>
          <w:bCs/>
        </w:rPr>
      </w:pPr>
      <w:r w:rsidRPr="001A5A35">
        <w:rPr>
          <w:rFonts w:asciiTheme="majorBidi" w:hAnsiTheme="majorBidi" w:cstheme="majorBidi"/>
          <w:b/>
          <w:bCs/>
        </w:rPr>
        <w:t xml:space="preserve">What is the prohibition of </w:t>
      </w:r>
      <w:r w:rsidRPr="001A5A35">
        <w:rPr>
          <w:rFonts w:asciiTheme="majorBidi" w:hAnsiTheme="majorBidi" w:cstheme="majorBidi"/>
          <w:b/>
          <w:bCs/>
          <w:rtl/>
        </w:rPr>
        <w:t>שם אלהים אחרים...</w:t>
      </w:r>
      <w:r w:rsidRPr="001A5A35">
        <w:rPr>
          <w:rFonts w:asciiTheme="majorBidi" w:hAnsiTheme="majorBidi" w:cstheme="majorBidi"/>
          <w:b/>
          <w:bCs/>
        </w:rPr>
        <w:t>?</w:t>
      </w:r>
    </w:p>
    <w:p w14:paraId="05B8F04F" w14:textId="157B3333" w:rsidR="00622064" w:rsidRDefault="00723107" w:rsidP="00F41C5F">
      <w:pPr>
        <w:pStyle w:val="ListParagraph"/>
        <w:numPr>
          <w:ilvl w:val="1"/>
          <w:numId w:val="1"/>
        </w:numPr>
        <w:rPr>
          <w:rFonts w:asciiTheme="majorBidi" w:hAnsiTheme="majorBidi" w:cstheme="majorBidi"/>
        </w:rPr>
      </w:pPr>
      <w:r w:rsidRPr="001A5A35">
        <w:rPr>
          <w:rFonts w:asciiTheme="majorBidi" w:hAnsiTheme="majorBidi" w:cstheme="majorBidi"/>
        </w:rPr>
        <w:t xml:space="preserve">See </w:t>
      </w:r>
      <w:proofErr w:type="spellStart"/>
      <w:r w:rsidRPr="001A5A35">
        <w:rPr>
          <w:rFonts w:asciiTheme="majorBidi" w:hAnsiTheme="majorBidi" w:cstheme="majorBidi"/>
        </w:rPr>
        <w:t>Shemot</w:t>
      </w:r>
      <w:proofErr w:type="spellEnd"/>
      <w:r w:rsidRPr="001A5A35">
        <w:rPr>
          <w:rFonts w:asciiTheme="majorBidi" w:hAnsiTheme="majorBidi" w:cstheme="majorBidi"/>
        </w:rPr>
        <w:t xml:space="preserve"> 23:13</w:t>
      </w:r>
      <w:proofErr w:type="gramStart"/>
      <w:r w:rsidRPr="001A5A35">
        <w:rPr>
          <w:rFonts w:asciiTheme="majorBidi" w:hAnsiTheme="majorBidi" w:cstheme="majorBidi"/>
        </w:rPr>
        <w:t>.  What</w:t>
      </w:r>
      <w:proofErr w:type="gramEnd"/>
      <w:r w:rsidRPr="001A5A35">
        <w:rPr>
          <w:rFonts w:asciiTheme="majorBidi" w:hAnsiTheme="majorBidi" w:cstheme="majorBidi"/>
        </w:rPr>
        <w:t xml:space="preserve"> does the verse mean, and what is odd about the grammar?  </w:t>
      </w:r>
      <w:r w:rsidR="00483A61" w:rsidRPr="001A5A35">
        <w:rPr>
          <w:rFonts w:asciiTheme="majorBidi" w:hAnsiTheme="majorBidi" w:cstheme="majorBidi"/>
        </w:rPr>
        <w:t xml:space="preserve">See </w:t>
      </w:r>
      <w:proofErr w:type="spellStart"/>
      <w:r w:rsidR="00483A61" w:rsidRPr="001A5A35">
        <w:rPr>
          <w:rFonts w:asciiTheme="majorBidi" w:hAnsiTheme="majorBidi" w:cstheme="majorBidi"/>
        </w:rPr>
        <w:t>Ramban</w:t>
      </w:r>
      <w:proofErr w:type="spellEnd"/>
      <w:r w:rsidR="00B02D0D" w:rsidRPr="001A5A35">
        <w:rPr>
          <w:rFonts w:asciiTheme="majorBidi" w:hAnsiTheme="majorBidi" w:cstheme="majorBidi"/>
        </w:rPr>
        <w:t xml:space="preserve">, Ibn Ezra </w:t>
      </w:r>
      <w:proofErr w:type="spellStart"/>
      <w:r w:rsidR="00B02D0D" w:rsidRPr="001A5A35">
        <w:rPr>
          <w:rFonts w:asciiTheme="majorBidi" w:hAnsiTheme="majorBidi" w:cstheme="majorBidi"/>
        </w:rPr>
        <w:t>HaKatzar</w:t>
      </w:r>
      <w:proofErr w:type="spellEnd"/>
      <w:r w:rsidR="00B02D0D" w:rsidRPr="001A5A35">
        <w:rPr>
          <w:rFonts w:asciiTheme="majorBidi" w:hAnsiTheme="majorBidi" w:cstheme="majorBidi"/>
        </w:rPr>
        <w:t xml:space="preserve"> and Yehoshua 23: </w:t>
      </w:r>
      <w:r w:rsidR="00C255C6" w:rsidRPr="001A5A35">
        <w:rPr>
          <w:rFonts w:asciiTheme="majorBidi" w:hAnsiTheme="majorBidi" w:cstheme="majorBidi"/>
        </w:rPr>
        <w:t xml:space="preserve">7. </w:t>
      </w:r>
      <w:r w:rsidR="00F379AD">
        <w:rPr>
          <w:rFonts w:asciiTheme="majorBidi" w:hAnsiTheme="majorBidi" w:cstheme="majorBidi"/>
        </w:rPr>
        <w:t xml:space="preserve">See </w:t>
      </w:r>
      <w:proofErr w:type="spellStart"/>
      <w:r w:rsidR="00F379AD">
        <w:rPr>
          <w:rFonts w:asciiTheme="majorBidi" w:hAnsiTheme="majorBidi" w:cstheme="majorBidi"/>
        </w:rPr>
        <w:t>Mechilta</w:t>
      </w:r>
      <w:proofErr w:type="spellEnd"/>
      <w:r w:rsidR="00F379AD">
        <w:rPr>
          <w:rFonts w:asciiTheme="majorBidi" w:hAnsiTheme="majorBidi" w:cstheme="majorBidi"/>
        </w:rPr>
        <w:t xml:space="preserve"> </w:t>
      </w:r>
      <w:proofErr w:type="spellStart"/>
      <w:r w:rsidR="00F379AD">
        <w:rPr>
          <w:rFonts w:asciiTheme="majorBidi" w:hAnsiTheme="majorBidi" w:cstheme="majorBidi"/>
        </w:rPr>
        <w:t>D’Rabbi</w:t>
      </w:r>
      <w:proofErr w:type="spellEnd"/>
      <w:r w:rsidR="00F379AD">
        <w:rPr>
          <w:rFonts w:asciiTheme="majorBidi" w:hAnsiTheme="majorBidi" w:cstheme="majorBidi"/>
        </w:rPr>
        <w:t xml:space="preserve"> </w:t>
      </w:r>
      <w:proofErr w:type="spellStart"/>
      <w:r w:rsidR="00F379AD">
        <w:rPr>
          <w:rFonts w:asciiTheme="majorBidi" w:hAnsiTheme="majorBidi" w:cstheme="majorBidi"/>
        </w:rPr>
        <w:t>Yishmael</w:t>
      </w:r>
      <w:proofErr w:type="spellEnd"/>
    </w:p>
    <w:p w14:paraId="3267F362" w14:textId="73023076" w:rsidR="00F379AD" w:rsidRPr="00F379AD" w:rsidRDefault="00F379AD" w:rsidP="00F379AD">
      <w:pPr>
        <w:bidi/>
        <w:rPr>
          <w:rFonts w:asciiTheme="majorBidi" w:hAnsiTheme="majorBidi" w:cstheme="majorBidi"/>
        </w:rPr>
      </w:pPr>
      <w:r w:rsidRPr="00F379AD">
        <w:rPr>
          <w:rFonts w:asciiTheme="majorBidi" w:hAnsiTheme="majorBidi" w:cs="Times New Roman"/>
          <w:rtl/>
        </w:rPr>
        <w:t>לא ישמע על פיך. זו אזהרה למדיח ולמסית</w:t>
      </w:r>
      <w:r w:rsidRPr="00F379AD">
        <w:rPr>
          <w:rFonts w:asciiTheme="majorBidi" w:hAnsiTheme="majorBidi" w:cstheme="majorBidi"/>
        </w:rPr>
        <w:t xml:space="preserve"> :</w:t>
      </w:r>
    </w:p>
    <w:p w14:paraId="27201C21" w14:textId="4584763E" w:rsidR="00F41C5F" w:rsidRPr="001A5A35" w:rsidRDefault="00F41C5F" w:rsidP="00F41C5F">
      <w:pPr>
        <w:pStyle w:val="ListParagraph"/>
        <w:numPr>
          <w:ilvl w:val="1"/>
          <w:numId w:val="1"/>
        </w:numPr>
        <w:rPr>
          <w:rFonts w:asciiTheme="majorBidi" w:hAnsiTheme="majorBidi" w:cstheme="majorBidi"/>
        </w:rPr>
      </w:pPr>
      <w:r w:rsidRPr="001A5A35">
        <w:rPr>
          <w:rFonts w:asciiTheme="majorBidi" w:hAnsiTheme="majorBidi" w:cstheme="majorBidi"/>
        </w:rPr>
        <w:t>See Sanhedrin 63b</w:t>
      </w:r>
    </w:p>
    <w:p w14:paraId="66E96B69" w14:textId="77777777" w:rsidR="00F41C5F" w:rsidRPr="0088601D" w:rsidRDefault="00F41C5F" w:rsidP="001A5A35">
      <w:pPr>
        <w:pStyle w:val="NoSpacing"/>
        <w:bidi/>
        <w:rPr>
          <w:rFonts w:asciiTheme="majorBidi" w:hAnsiTheme="majorBidi" w:cstheme="majorBidi"/>
          <w:b/>
          <w:bCs/>
        </w:rPr>
      </w:pPr>
      <w:r w:rsidRPr="0088601D">
        <w:rPr>
          <w:rFonts w:asciiTheme="majorBidi" w:hAnsiTheme="majorBidi" w:cstheme="majorBidi"/>
          <w:b/>
          <w:bCs/>
          <w:rtl/>
        </w:rPr>
        <w:t>תלמוד בבלי מסכת סנהדרין דף סג עמוד ב</w:t>
      </w:r>
      <w:r w:rsidRPr="0088601D">
        <w:rPr>
          <w:rFonts w:asciiTheme="majorBidi" w:hAnsiTheme="majorBidi" w:cstheme="majorBidi"/>
          <w:b/>
          <w:bCs/>
        </w:rPr>
        <w:t xml:space="preserve"> </w:t>
      </w:r>
    </w:p>
    <w:p w14:paraId="526700DF" w14:textId="2C9FCF0F" w:rsidR="00F41C5F" w:rsidRPr="001A5A35" w:rsidRDefault="00F41C5F" w:rsidP="001A5A35">
      <w:pPr>
        <w:pStyle w:val="NoSpacing"/>
        <w:bidi/>
        <w:rPr>
          <w:rFonts w:asciiTheme="majorBidi" w:hAnsiTheme="majorBidi" w:cstheme="majorBidi"/>
        </w:rPr>
      </w:pPr>
      <w:r w:rsidRPr="001A5A35">
        <w:rPr>
          <w:rFonts w:asciiTheme="majorBidi" w:hAnsiTheme="majorBidi" w:cstheme="majorBidi"/>
          <w:rtl/>
        </w:rPr>
        <w:t>הנודר בשמו והמקיים בשמו הרי זה בלא תעשה. הנודר בשמו והמקיים בשמו מנלן? דתניא: ושם אלהים אחרים לא תזכירו - שלא יאמר אדם לחבירו שמור לי בצד עבודה זרה פלונית. לא ישמע על פיך - שלא ידור בשמו, ולא יקיים בשמו, ולא יגרום לאחרים שידרו בשמו ויקיימו בשמו. דבר אחר: לא ישמע על פיך - אזהרה למסית ולמדיח. מסית - בהדיא כתיב ביה, וכל ישראל ישמעו ויראו וגו'! - אלא: אזהרה למדיח. ולא יגרום לאחרים שידרו בשמו ושיקיימו בשמו - מסייעא ליה לאבוה דשמואל, דאמר אבוה דשמואל: אסור לאדם שיעשה שותפות עם הנכרי, שמא יתחייב לו שבועה, ונשבע בעבודה זרה שלו, והתורה אמרה לא ישמע על פיך</w:t>
      </w:r>
      <w:r w:rsidRPr="001A5A35">
        <w:rPr>
          <w:rFonts w:asciiTheme="majorBidi" w:hAnsiTheme="majorBidi" w:cstheme="majorBidi"/>
        </w:rPr>
        <w:t>.</w:t>
      </w:r>
    </w:p>
    <w:p w14:paraId="226CB20A" w14:textId="77777777" w:rsidR="0088601D" w:rsidRDefault="0088601D" w:rsidP="0088601D">
      <w:pPr>
        <w:pStyle w:val="ListParagraph"/>
        <w:ind w:left="1490"/>
        <w:rPr>
          <w:rFonts w:asciiTheme="majorBidi" w:hAnsiTheme="majorBidi" w:cstheme="majorBidi"/>
        </w:rPr>
      </w:pPr>
    </w:p>
    <w:p w14:paraId="7C0176B9" w14:textId="159579C2" w:rsidR="00F41C5F" w:rsidRPr="001A5A35" w:rsidRDefault="00F41C5F" w:rsidP="00F41C5F">
      <w:pPr>
        <w:pStyle w:val="ListParagraph"/>
        <w:numPr>
          <w:ilvl w:val="1"/>
          <w:numId w:val="1"/>
        </w:numPr>
        <w:rPr>
          <w:rFonts w:asciiTheme="majorBidi" w:hAnsiTheme="majorBidi" w:cstheme="majorBidi"/>
        </w:rPr>
      </w:pPr>
      <w:r w:rsidRPr="001A5A35">
        <w:rPr>
          <w:rFonts w:asciiTheme="majorBidi" w:hAnsiTheme="majorBidi" w:cstheme="majorBidi"/>
        </w:rPr>
        <w:t xml:space="preserve">The </w:t>
      </w:r>
      <w:proofErr w:type="spellStart"/>
      <w:r w:rsidRPr="001A5A35">
        <w:rPr>
          <w:rFonts w:asciiTheme="majorBidi" w:hAnsiTheme="majorBidi" w:cstheme="majorBidi"/>
        </w:rPr>
        <w:t>Gemara</w:t>
      </w:r>
      <w:proofErr w:type="spellEnd"/>
      <w:r w:rsidRPr="001A5A35">
        <w:rPr>
          <w:rFonts w:asciiTheme="majorBidi" w:hAnsiTheme="majorBidi" w:cstheme="majorBidi"/>
        </w:rPr>
        <w:t xml:space="preserve"> presents a prohibition to form a partnership with an idolater, as he may be forced to swear in a case of a disagreement.  Why does the </w:t>
      </w:r>
      <w:proofErr w:type="spellStart"/>
      <w:r w:rsidRPr="001A5A35">
        <w:rPr>
          <w:rFonts w:asciiTheme="majorBidi" w:hAnsiTheme="majorBidi" w:cstheme="majorBidi"/>
        </w:rPr>
        <w:t>Gemara</w:t>
      </w:r>
      <w:proofErr w:type="spellEnd"/>
      <w:r w:rsidRPr="001A5A35">
        <w:rPr>
          <w:rFonts w:asciiTheme="majorBidi" w:hAnsiTheme="majorBidi" w:cstheme="majorBidi"/>
        </w:rPr>
        <w:t xml:space="preserve"> not simply say “don’t make an idolater swear”?  This is the subject of a dispute in </w:t>
      </w:r>
      <w:proofErr w:type="spellStart"/>
      <w:r w:rsidRPr="001A5A35">
        <w:rPr>
          <w:rFonts w:asciiTheme="majorBidi" w:hAnsiTheme="majorBidi" w:cstheme="majorBidi"/>
        </w:rPr>
        <w:t>Tosafot</w:t>
      </w:r>
      <w:proofErr w:type="spellEnd"/>
      <w:r w:rsidRPr="001A5A35">
        <w:rPr>
          <w:rFonts w:asciiTheme="majorBidi" w:hAnsiTheme="majorBidi" w:cstheme="majorBidi"/>
        </w:rPr>
        <w:t xml:space="preserve">.  What is the difference in opinion between </w:t>
      </w:r>
      <w:proofErr w:type="spellStart"/>
      <w:r w:rsidRPr="001A5A35">
        <w:rPr>
          <w:rFonts w:asciiTheme="majorBidi" w:hAnsiTheme="majorBidi" w:cstheme="majorBidi"/>
        </w:rPr>
        <w:t>Rabbenu</w:t>
      </w:r>
      <w:proofErr w:type="spellEnd"/>
      <w:r w:rsidRPr="001A5A35">
        <w:rPr>
          <w:rFonts w:asciiTheme="majorBidi" w:hAnsiTheme="majorBidi" w:cstheme="majorBidi"/>
        </w:rPr>
        <w:t xml:space="preserve"> Tam and </w:t>
      </w:r>
      <w:proofErr w:type="spellStart"/>
      <w:r w:rsidRPr="001A5A35">
        <w:rPr>
          <w:rFonts w:asciiTheme="majorBidi" w:hAnsiTheme="majorBidi" w:cstheme="majorBidi"/>
        </w:rPr>
        <w:t>Rashbam</w:t>
      </w:r>
      <w:proofErr w:type="spellEnd"/>
      <w:r w:rsidRPr="001A5A35">
        <w:rPr>
          <w:rFonts w:asciiTheme="majorBidi" w:hAnsiTheme="majorBidi" w:cstheme="majorBidi"/>
        </w:rPr>
        <w:t xml:space="preserve">?  I have divided </w:t>
      </w:r>
      <w:proofErr w:type="spellStart"/>
      <w:r w:rsidRPr="001A5A35">
        <w:rPr>
          <w:rFonts w:asciiTheme="majorBidi" w:hAnsiTheme="majorBidi" w:cstheme="majorBidi"/>
        </w:rPr>
        <w:t>Tosafot</w:t>
      </w:r>
      <w:proofErr w:type="spellEnd"/>
      <w:r w:rsidRPr="001A5A35">
        <w:rPr>
          <w:rFonts w:asciiTheme="majorBidi" w:hAnsiTheme="majorBidi" w:cstheme="majorBidi"/>
        </w:rPr>
        <w:t xml:space="preserve"> into two parts.  </w:t>
      </w:r>
      <w:r w:rsidR="00B948ED" w:rsidRPr="001A5A35">
        <w:rPr>
          <w:rFonts w:asciiTheme="majorBidi" w:hAnsiTheme="majorBidi" w:cstheme="majorBidi"/>
        </w:rPr>
        <w:t xml:space="preserve">The second half may relate to the important question as to whether Christianity is considered idolatry for non-Jews.  We will discuss this is another shiur. </w:t>
      </w:r>
      <w:r w:rsidRPr="001A5A35">
        <w:rPr>
          <w:rFonts w:asciiTheme="majorBidi" w:hAnsiTheme="majorBidi" w:cstheme="majorBidi"/>
        </w:rPr>
        <w:t>Start with the below:</w:t>
      </w:r>
    </w:p>
    <w:p w14:paraId="6CF56288" w14:textId="77777777" w:rsidR="00F41C5F" w:rsidRPr="0088601D" w:rsidRDefault="00F41C5F" w:rsidP="001A5A35">
      <w:pPr>
        <w:pStyle w:val="NoSpacing"/>
        <w:bidi/>
        <w:rPr>
          <w:rFonts w:asciiTheme="majorBidi" w:hAnsiTheme="majorBidi" w:cstheme="majorBidi"/>
          <w:b/>
          <w:bCs/>
        </w:rPr>
      </w:pPr>
      <w:r w:rsidRPr="0088601D">
        <w:rPr>
          <w:rFonts w:asciiTheme="majorBidi" w:hAnsiTheme="majorBidi" w:cstheme="majorBidi"/>
          <w:b/>
          <w:bCs/>
          <w:rtl/>
        </w:rPr>
        <w:t>תוספות מסכת סנהדרין דף סג עמוד ב</w:t>
      </w:r>
    </w:p>
    <w:p w14:paraId="40F9E365" w14:textId="77777777" w:rsidR="00F41C5F" w:rsidRPr="001A5A35" w:rsidRDefault="00F41C5F" w:rsidP="001A5A35">
      <w:pPr>
        <w:pStyle w:val="NoSpacing"/>
        <w:bidi/>
        <w:rPr>
          <w:rFonts w:asciiTheme="majorBidi" w:hAnsiTheme="majorBidi" w:cstheme="majorBidi"/>
        </w:rPr>
      </w:pPr>
      <w:r w:rsidRPr="001A5A35">
        <w:rPr>
          <w:rFonts w:asciiTheme="majorBidi" w:hAnsiTheme="majorBidi" w:cstheme="majorBidi"/>
          <w:rtl/>
        </w:rPr>
        <w:lastRenderedPageBreak/>
        <w:t>אסור לאדם שיעשה שותפות - אמר ר' שמואל כ"ש שבועה עצמה דאין לקבל הימנו ור"ת אומר מותר לקבל הימנו השבועה קודם שיפסיד כדאמר בפ"ק דמס' ע"ג (דף ו:) דמלוה ע"פ נפרעין ממנו מפני שהוא כמציל מידם ולא חיישינן דילמא אזיל ומודה</w:t>
      </w:r>
    </w:p>
    <w:p w14:paraId="7A35F1CC" w14:textId="18C9C630" w:rsidR="00F41C5F" w:rsidRPr="001A5A35" w:rsidRDefault="00F41C5F" w:rsidP="00F41C5F">
      <w:pPr>
        <w:bidi/>
        <w:rPr>
          <w:rFonts w:asciiTheme="majorBidi" w:hAnsiTheme="majorBidi" w:cstheme="majorBidi"/>
        </w:rPr>
      </w:pPr>
    </w:p>
    <w:p w14:paraId="0FC4DA69" w14:textId="4151FCEB" w:rsidR="00F41C5F" w:rsidRPr="001A5A35" w:rsidRDefault="00F41C5F" w:rsidP="00F41C5F">
      <w:pPr>
        <w:pStyle w:val="ListParagraph"/>
        <w:numPr>
          <w:ilvl w:val="1"/>
          <w:numId w:val="1"/>
        </w:numPr>
        <w:rPr>
          <w:rFonts w:asciiTheme="majorBidi" w:hAnsiTheme="majorBidi" w:cstheme="majorBidi"/>
        </w:rPr>
      </w:pPr>
      <w:r w:rsidRPr="001A5A35">
        <w:rPr>
          <w:rFonts w:asciiTheme="majorBidi" w:hAnsiTheme="majorBidi" w:cstheme="majorBidi"/>
        </w:rPr>
        <w:t xml:space="preserve">Why does </w:t>
      </w:r>
      <w:proofErr w:type="spellStart"/>
      <w:r w:rsidRPr="001A5A35">
        <w:rPr>
          <w:rFonts w:asciiTheme="majorBidi" w:hAnsiTheme="majorBidi" w:cstheme="majorBidi"/>
        </w:rPr>
        <w:t>Rabbeinu</w:t>
      </w:r>
      <w:proofErr w:type="spellEnd"/>
      <w:r w:rsidRPr="001A5A35">
        <w:rPr>
          <w:rFonts w:asciiTheme="majorBidi" w:hAnsiTheme="majorBidi" w:cstheme="majorBidi"/>
        </w:rPr>
        <w:t xml:space="preserve"> Tam think that it is permitted to make a non-Jew swear?  There are two possibilities:  One relates to the nature of the prohibition of causing a non-Jew to invoke the name of his deity.  The other relates to the </w:t>
      </w:r>
      <w:proofErr w:type="gramStart"/>
      <w:r w:rsidRPr="001A5A35">
        <w:rPr>
          <w:rFonts w:asciiTheme="majorBidi" w:hAnsiTheme="majorBidi" w:cstheme="majorBidi"/>
        </w:rPr>
        <w:t>particular context</w:t>
      </w:r>
      <w:proofErr w:type="gramEnd"/>
      <w:r w:rsidRPr="001A5A35">
        <w:rPr>
          <w:rFonts w:asciiTheme="majorBidi" w:hAnsiTheme="majorBidi" w:cstheme="majorBidi"/>
        </w:rPr>
        <w:t xml:space="preserve"> of the partnership agreement.  What might these two be?</w:t>
      </w:r>
    </w:p>
    <w:p w14:paraId="01609CD7" w14:textId="42175C2F" w:rsidR="00F41C5F" w:rsidRPr="001A5A35" w:rsidRDefault="00F41C5F" w:rsidP="00F41C5F">
      <w:pPr>
        <w:pStyle w:val="ListParagraph"/>
        <w:numPr>
          <w:ilvl w:val="2"/>
          <w:numId w:val="1"/>
        </w:numPr>
        <w:rPr>
          <w:rFonts w:asciiTheme="majorBidi" w:hAnsiTheme="majorBidi" w:cstheme="majorBidi"/>
        </w:rPr>
      </w:pPr>
      <w:r w:rsidRPr="001A5A35">
        <w:rPr>
          <w:rFonts w:asciiTheme="majorBidi" w:hAnsiTheme="majorBidi" w:cstheme="majorBidi"/>
        </w:rPr>
        <w:t>See Megillah 28a.</w:t>
      </w:r>
      <w:r w:rsidR="007E1C1D" w:rsidRPr="001A5A35">
        <w:rPr>
          <w:rFonts w:asciiTheme="majorBidi" w:hAnsiTheme="majorBidi" w:cstheme="majorBidi"/>
          <w:rtl/>
        </w:rPr>
        <w:t xml:space="preserve"> </w:t>
      </w:r>
      <w:r w:rsidR="007E1C1D" w:rsidRPr="001A5A35">
        <w:rPr>
          <w:rFonts w:asciiTheme="majorBidi" w:hAnsiTheme="majorBidi" w:cstheme="majorBidi"/>
        </w:rPr>
        <w:t xml:space="preserve">The </w:t>
      </w:r>
      <w:proofErr w:type="spellStart"/>
      <w:r w:rsidR="007E1C1D" w:rsidRPr="001A5A35">
        <w:rPr>
          <w:rFonts w:asciiTheme="majorBidi" w:hAnsiTheme="majorBidi" w:cstheme="majorBidi"/>
        </w:rPr>
        <w:t>Gemara</w:t>
      </w:r>
      <w:proofErr w:type="spellEnd"/>
      <w:r w:rsidR="007E1C1D" w:rsidRPr="001A5A35">
        <w:rPr>
          <w:rFonts w:asciiTheme="majorBidi" w:hAnsiTheme="majorBidi" w:cstheme="majorBidi"/>
        </w:rPr>
        <w:t xml:space="preserve"> is telling stories of people on their deathbeds explaining why they merited long life.</w:t>
      </w:r>
      <w:r w:rsidRPr="001A5A35">
        <w:rPr>
          <w:rFonts w:asciiTheme="majorBidi" w:hAnsiTheme="majorBidi" w:cstheme="majorBidi"/>
        </w:rPr>
        <w:t xml:space="preserve">  Which side does this</w:t>
      </w:r>
      <w:r w:rsidR="00212D71" w:rsidRPr="001A5A35">
        <w:rPr>
          <w:rFonts w:asciiTheme="majorBidi" w:hAnsiTheme="majorBidi" w:cstheme="majorBidi"/>
        </w:rPr>
        <w:t xml:space="preserve"> seem to</w:t>
      </w:r>
      <w:r w:rsidRPr="001A5A35">
        <w:rPr>
          <w:rFonts w:asciiTheme="majorBidi" w:hAnsiTheme="majorBidi" w:cstheme="majorBidi"/>
        </w:rPr>
        <w:t xml:space="preserve"> support?  Why?  See </w:t>
      </w:r>
      <w:proofErr w:type="spellStart"/>
      <w:r w:rsidRPr="001A5A35">
        <w:rPr>
          <w:rFonts w:asciiTheme="majorBidi" w:hAnsiTheme="majorBidi" w:cstheme="majorBidi"/>
        </w:rPr>
        <w:t>Ritva</w:t>
      </w:r>
      <w:proofErr w:type="spellEnd"/>
      <w:r w:rsidR="000A33EF" w:rsidRPr="001A5A35">
        <w:rPr>
          <w:rFonts w:asciiTheme="majorBidi" w:hAnsiTheme="majorBidi" w:cstheme="majorBidi"/>
        </w:rPr>
        <w:t xml:space="preserve"> and </w:t>
      </w:r>
      <w:proofErr w:type="spellStart"/>
      <w:r w:rsidR="000A33EF" w:rsidRPr="001A5A35">
        <w:rPr>
          <w:rFonts w:asciiTheme="majorBidi" w:hAnsiTheme="majorBidi" w:cstheme="majorBidi"/>
        </w:rPr>
        <w:t>Sma</w:t>
      </w:r>
      <w:proofErr w:type="spellEnd"/>
    </w:p>
    <w:p w14:paraId="35AE31F0" w14:textId="77777777" w:rsidR="000A33EF" w:rsidRPr="001A5A35" w:rsidRDefault="000A33EF" w:rsidP="001A5A35">
      <w:pPr>
        <w:pStyle w:val="NoSpacing"/>
        <w:bidi/>
        <w:rPr>
          <w:rFonts w:asciiTheme="majorBidi" w:hAnsiTheme="majorBidi" w:cstheme="majorBidi"/>
        </w:rPr>
      </w:pPr>
    </w:p>
    <w:p w14:paraId="7D854DBF" w14:textId="1CFD1F80" w:rsidR="007E1C1D" w:rsidRPr="001A5A35" w:rsidRDefault="007E1C1D" w:rsidP="001A5A35">
      <w:pPr>
        <w:pStyle w:val="NoSpacing"/>
        <w:bidi/>
        <w:rPr>
          <w:rFonts w:asciiTheme="majorBidi" w:hAnsiTheme="majorBidi" w:cstheme="majorBidi"/>
          <w:b/>
          <w:bCs/>
        </w:rPr>
      </w:pPr>
      <w:r w:rsidRPr="001A5A35">
        <w:rPr>
          <w:rFonts w:asciiTheme="majorBidi" w:hAnsiTheme="majorBidi" w:cstheme="majorBidi"/>
          <w:b/>
          <w:bCs/>
          <w:rtl/>
        </w:rPr>
        <w:t>תלמוד בבלי מסכת מגילה דף כח עמוד א</w:t>
      </w:r>
      <w:r w:rsidRPr="001A5A35">
        <w:rPr>
          <w:rFonts w:asciiTheme="majorBidi" w:hAnsiTheme="majorBidi" w:cstheme="majorBidi"/>
          <w:b/>
          <w:bCs/>
        </w:rPr>
        <w:t xml:space="preserve"> </w:t>
      </w:r>
    </w:p>
    <w:p w14:paraId="2C848FA6" w14:textId="7E048E05" w:rsidR="007E1C1D" w:rsidRPr="001A5A35" w:rsidRDefault="007E1C1D" w:rsidP="001A5A35">
      <w:pPr>
        <w:pStyle w:val="NoSpacing"/>
        <w:bidi/>
        <w:rPr>
          <w:rFonts w:asciiTheme="majorBidi" w:hAnsiTheme="majorBidi" w:cstheme="majorBidi"/>
        </w:rPr>
      </w:pPr>
      <w:r w:rsidRPr="001A5A35">
        <w:rPr>
          <w:rFonts w:asciiTheme="majorBidi" w:hAnsiTheme="majorBidi" w:cstheme="majorBidi"/>
          <w:rtl/>
        </w:rPr>
        <w:t>בשעת פטירתו אמר לו: [רבי], ברכני! אמר לו: יהי רצון שתגיע לחצי ימי. - ולכולהו לא? - אמר לו: הבאים אחריך בהמה ירעו? אבוה בר איהי ומנימן בר איהי, חד אמר: תיתי לי דלא אסתכלי בגוי, וחד אמר: תיתי לי דלא עבדי שותפות בהדי גוי</w:t>
      </w:r>
      <w:r w:rsidRPr="001A5A35">
        <w:rPr>
          <w:rFonts w:asciiTheme="majorBidi" w:hAnsiTheme="majorBidi" w:cstheme="majorBidi"/>
        </w:rPr>
        <w:t>.</w:t>
      </w:r>
    </w:p>
    <w:p w14:paraId="64436DB8" w14:textId="77777777" w:rsidR="0088601D" w:rsidRDefault="0088601D" w:rsidP="001A5A35">
      <w:pPr>
        <w:pStyle w:val="NoSpacing"/>
        <w:bidi/>
        <w:rPr>
          <w:rFonts w:asciiTheme="majorBidi" w:hAnsiTheme="majorBidi" w:cstheme="majorBidi"/>
          <w:b/>
          <w:bCs/>
        </w:rPr>
      </w:pPr>
    </w:p>
    <w:p w14:paraId="384845B4" w14:textId="3A7637B2" w:rsidR="00F41C5F" w:rsidRPr="001A5A35" w:rsidRDefault="00F41C5F" w:rsidP="0088601D">
      <w:pPr>
        <w:pStyle w:val="NoSpacing"/>
        <w:bidi/>
        <w:rPr>
          <w:rFonts w:asciiTheme="majorBidi" w:hAnsiTheme="majorBidi" w:cstheme="majorBidi"/>
          <w:b/>
          <w:bCs/>
        </w:rPr>
      </w:pPr>
      <w:r w:rsidRPr="001A5A35">
        <w:rPr>
          <w:rFonts w:asciiTheme="majorBidi" w:hAnsiTheme="majorBidi" w:cstheme="majorBidi"/>
          <w:b/>
          <w:bCs/>
          <w:rtl/>
        </w:rPr>
        <w:t>חידושי הריטב"א מסכת מגילה דף כח עמוד א</w:t>
      </w:r>
    </w:p>
    <w:p w14:paraId="42AFDEF9" w14:textId="360A267D" w:rsidR="00F41C5F" w:rsidRPr="001A5A35" w:rsidRDefault="00F41C5F" w:rsidP="001A5A35">
      <w:pPr>
        <w:pStyle w:val="NoSpacing"/>
        <w:bidi/>
        <w:rPr>
          <w:rFonts w:asciiTheme="majorBidi" w:hAnsiTheme="majorBidi" w:cstheme="majorBidi"/>
        </w:rPr>
      </w:pPr>
      <w:r w:rsidRPr="001A5A35">
        <w:rPr>
          <w:rFonts w:asciiTheme="majorBidi" w:hAnsiTheme="majorBidi" w:cstheme="majorBidi"/>
          <w:rtl/>
        </w:rPr>
        <w:t>וכי תימא מאי רבותיה דהא איסורא דאורייתא הוא ובכלל לא ישמע על פיך כדאיתא במסכת סנהדרין (ס"ג ב') אסור לאדם לעשות שותפות עם הגוי שמא יתחייב לו שבועה והתורה אמרה לא ישמע על פיך, והנכון דההיא לאו איסורא ממש דאורייתא או דרבנן אלא מדת חסידות בעלמא</w:t>
      </w:r>
    </w:p>
    <w:p w14:paraId="51134506" w14:textId="77777777" w:rsidR="0088601D" w:rsidRDefault="0088601D" w:rsidP="001A5A35">
      <w:pPr>
        <w:pStyle w:val="NoSpacing"/>
        <w:bidi/>
        <w:rPr>
          <w:rFonts w:asciiTheme="majorBidi" w:hAnsiTheme="majorBidi" w:cstheme="majorBidi"/>
          <w:b/>
          <w:bCs/>
        </w:rPr>
      </w:pPr>
    </w:p>
    <w:p w14:paraId="6C0E7204" w14:textId="09D525AE" w:rsidR="000A33EF" w:rsidRPr="001A5A35" w:rsidRDefault="000A33EF" w:rsidP="0088601D">
      <w:pPr>
        <w:pStyle w:val="NoSpacing"/>
        <w:bidi/>
        <w:rPr>
          <w:rFonts w:asciiTheme="majorBidi" w:hAnsiTheme="majorBidi" w:cstheme="majorBidi"/>
          <w:b/>
          <w:bCs/>
        </w:rPr>
      </w:pPr>
      <w:r w:rsidRPr="001A5A35">
        <w:rPr>
          <w:rFonts w:asciiTheme="majorBidi" w:hAnsiTheme="majorBidi" w:cstheme="majorBidi"/>
          <w:b/>
          <w:bCs/>
          <w:rtl/>
        </w:rPr>
        <w:t>סמ"ע סימן קעו</w:t>
      </w:r>
      <w:r w:rsidRPr="001A5A35">
        <w:rPr>
          <w:rFonts w:asciiTheme="majorBidi" w:hAnsiTheme="majorBidi" w:cstheme="majorBidi"/>
          <w:b/>
          <w:bCs/>
        </w:rPr>
        <w:t xml:space="preserve"> </w:t>
      </w:r>
    </w:p>
    <w:p w14:paraId="5832549C" w14:textId="24EDEE25" w:rsidR="000A33EF" w:rsidRPr="001A5A35" w:rsidRDefault="000A33EF" w:rsidP="001A5A35">
      <w:pPr>
        <w:pStyle w:val="NoSpacing"/>
        <w:bidi/>
        <w:rPr>
          <w:rFonts w:asciiTheme="majorBidi" w:hAnsiTheme="majorBidi" w:cstheme="majorBidi"/>
        </w:rPr>
      </w:pPr>
      <w:r w:rsidRPr="001A5A35">
        <w:rPr>
          <w:rFonts w:asciiTheme="majorBidi" w:hAnsiTheme="majorBidi" w:cstheme="majorBidi"/>
          <w:rtl/>
        </w:rPr>
        <w:t>משום הפסד ממונו הקילו בו, כי מ"ש [שמות כ"ג י"ג] לא ישמע על פיך, על ישראל גופיה אזהר רחמנא, וגם על לפני עור לא תתן מכשול לא שייך הכא, דגוי עצמו לא מוזהר על זה [רק שמדת חסידות הוא שלא יגרם שישמע על ידו אף מפי גוי</w:t>
      </w:r>
    </w:p>
    <w:p w14:paraId="299F5A88" w14:textId="6160DE1C" w:rsidR="001D1AA3" w:rsidRPr="001A5A35" w:rsidRDefault="001D1AA3" w:rsidP="00B74192">
      <w:pPr>
        <w:bidi/>
        <w:rPr>
          <w:rFonts w:asciiTheme="majorBidi" w:hAnsiTheme="majorBidi" w:cstheme="majorBidi"/>
        </w:rPr>
      </w:pPr>
    </w:p>
    <w:p w14:paraId="5C35B5AE" w14:textId="332A19B8" w:rsidR="001D1AA3" w:rsidRPr="001A5A35" w:rsidRDefault="001D1AA3" w:rsidP="001D1AA3">
      <w:pPr>
        <w:pStyle w:val="ListParagraph"/>
        <w:numPr>
          <w:ilvl w:val="2"/>
          <w:numId w:val="1"/>
        </w:numPr>
        <w:rPr>
          <w:rFonts w:asciiTheme="majorBidi" w:hAnsiTheme="majorBidi" w:cstheme="majorBidi"/>
        </w:rPr>
      </w:pPr>
      <w:r w:rsidRPr="001A5A35">
        <w:rPr>
          <w:rFonts w:asciiTheme="majorBidi" w:hAnsiTheme="majorBidi" w:cstheme="majorBidi"/>
        </w:rPr>
        <w:t>This position seems to be in the minority. A particularly clear presentation of the two sides is found in a</w:t>
      </w:r>
      <w:r w:rsidR="00541D2B" w:rsidRPr="001A5A35">
        <w:rPr>
          <w:rFonts w:asciiTheme="majorBidi" w:hAnsiTheme="majorBidi" w:cstheme="majorBidi"/>
        </w:rPr>
        <w:t xml:space="preserve">n exchange between Rabbi Moshe Feinstein and his nephew, Rabbi </w:t>
      </w:r>
      <w:proofErr w:type="spellStart"/>
      <w:r w:rsidR="00541D2B" w:rsidRPr="001A5A35">
        <w:rPr>
          <w:rFonts w:asciiTheme="majorBidi" w:hAnsiTheme="majorBidi" w:cstheme="majorBidi"/>
        </w:rPr>
        <w:t>Yechiel</w:t>
      </w:r>
      <w:proofErr w:type="spellEnd"/>
      <w:r w:rsidR="00541D2B" w:rsidRPr="001A5A35">
        <w:rPr>
          <w:rFonts w:asciiTheme="majorBidi" w:hAnsiTheme="majorBidi" w:cstheme="majorBidi"/>
        </w:rPr>
        <w:t xml:space="preserve"> Michel Feinstein.  </w:t>
      </w:r>
    </w:p>
    <w:p w14:paraId="66FFD428" w14:textId="23A26F95" w:rsidR="00B74192" w:rsidRPr="0088601D" w:rsidRDefault="00B74192" w:rsidP="001A5A35">
      <w:pPr>
        <w:pStyle w:val="NoSpacing"/>
        <w:bidi/>
        <w:rPr>
          <w:rFonts w:asciiTheme="majorBidi" w:hAnsiTheme="majorBidi" w:cstheme="majorBidi"/>
          <w:b/>
          <w:bCs/>
        </w:rPr>
      </w:pPr>
      <w:r w:rsidRPr="0088601D">
        <w:rPr>
          <w:rFonts w:asciiTheme="majorBidi" w:hAnsiTheme="majorBidi" w:cstheme="majorBidi"/>
          <w:b/>
          <w:bCs/>
          <w:rtl/>
        </w:rPr>
        <w:t xml:space="preserve">שו"ת אגרות משה יורה דעה חלק א סימן עא </w:t>
      </w:r>
    </w:p>
    <w:p w14:paraId="7F7AF026" w14:textId="77777777" w:rsidR="00B74192" w:rsidRPr="001A5A35" w:rsidRDefault="00B74192" w:rsidP="001A5A35">
      <w:pPr>
        <w:pStyle w:val="NoSpacing"/>
        <w:bidi/>
        <w:rPr>
          <w:rFonts w:asciiTheme="majorBidi" w:hAnsiTheme="majorBidi" w:cstheme="majorBidi"/>
        </w:rPr>
      </w:pPr>
      <w:r w:rsidRPr="001A5A35">
        <w:rPr>
          <w:rFonts w:asciiTheme="majorBidi" w:hAnsiTheme="majorBidi" w:cstheme="majorBidi"/>
          <w:rtl/>
        </w:rPr>
        <w:t xml:space="preserve">בענין היתר משום איבה באיסור לפני אידיהן והיתר קבלת שבועה משום הפסד. ב' דר"ח אדר תש"ז. מע"כ ב"א =בן אחי= אהובי הגאון מוהר"ר יחיאל מיכל פיינשטיין שליט"א. </w:t>
      </w:r>
    </w:p>
    <w:p w14:paraId="207BE9C0" w14:textId="4D290215" w:rsidR="00B74192" w:rsidRPr="001A5A35" w:rsidRDefault="00B74192" w:rsidP="001A5A35">
      <w:pPr>
        <w:pStyle w:val="NoSpacing"/>
        <w:bidi/>
        <w:rPr>
          <w:rFonts w:asciiTheme="majorBidi" w:hAnsiTheme="majorBidi" w:cstheme="majorBidi"/>
        </w:rPr>
      </w:pPr>
      <w:r w:rsidRPr="001A5A35">
        <w:rPr>
          <w:rFonts w:asciiTheme="majorBidi" w:hAnsiTheme="majorBidi" w:cstheme="majorBidi"/>
          <w:rtl/>
        </w:rPr>
        <w:t xml:space="preserve">בדבר קושיתך החמורה בריש ע"ז כיון דלגרום גם לעכו"ם שיודה וישבע לעכו"ם הוא איסור דאורייתא מקרא דלא תזכירו או מלא ישמע איך שייך להתיר משום איבה בזמן הזה לתוס' ורא"ש שם הא לא איירי באופן שהוא סכנה. וגם אם הוא לאו דאורייתא מ"ט לא יחשב אביזרייהו דע"ז שהדין הוא יהרג ולא יעבור </w:t>
      </w:r>
      <w:r w:rsidR="00332179" w:rsidRPr="001A5A35">
        <w:rPr>
          <w:rFonts w:asciiTheme="majorBidi" w:hAnsiTheme="majorBidi" w:cstheme="majorBidi"/>
        </w:rPr>
        <w:t>…</w:t>
      </w:r>
      <w:r w:rsidRPr="001A5A35">
        <w:rPr>
          <w:rFonts w:asciiTheme="majorBidi" w:hAnsiTheme="majorBidi" w:cstheme="majorBidi"/>
          <w:rtl/>
        </w:rPr>
        <w:t xml:space="preserve"> וא"כ אף על לא תזכירו ולא ישמע אף שהם לאוין המיוחדים בע"ז יש לו לעבור ולא ליהרג דלא כהר"ן מ"מ יקשה קושיא הא' דהא לא איירי באופן סכנה. </w:t>
      </w:r>
    </w:p>
    <w:p w14:paraId="0CAEA61F" w14:textId="77777777" w:rsidR="009464EB" w:rsidRPr="001A5A35" w:rsidRDefault="00B74192" w:rsidP="001A5A35">
      <w:pPr>
        <w:pStyle w:val="NoSpacing"/>
        <w:bidi/>
        <w:rPr>
          <w:rFonts w:asciiTheme="majorBidi" w:hAnsiTheme="majorBidi" w:cstheme="majorBidi"/>
        </w:rPr>
      </w:pPr>
      <w:r w:rsidRPr="001A5A35">
        <w:rPr>
          <w:rFonts w:asciiTheme="majorBidi" w:hAnsiTheme="majorBidi" w:cstheme="majorBidi"/>
          <w:rtl/>
        </w:rPr>
        <w:t xml:space="preserve">אבל לע"ד נראה דליכא איסור דאורייתא בלשאת ולתת אף שאזיל ומודה משום דהוי דבר שאין מתכוין בהמשא ומתן שיודה העכו"ם ודבר שאין מתכוין הא מותר לרבנן ורק הכא החמירו לתקן איסור משא ומתן וכדומה משום חומרא דע"ז שלא יגרום בשום אופן, ולא מבעיא כשאינו ברור שיודה אלא אף בברור שיודה אין זה שייך לפסיק רישיה אף לתוס' יומא דף ל"ד דפסיק רישיה נחשב כמתכוין דכיון דעכ"פ אינו הכרח דהא אפשר לו גם שלא להודות אין שייך להחשיבו בחומרא דפסיק רישיה. ולכן התירו משום איבה כיון שהוא רק איסור דרבנן. </w:t>
      </w:r>
    </w:p>
    <w:p w14:paraId="0C41DAAC" w14:textId="6B4BD596" w:rsidR="00F41C5F" w:rsidRDefault="002375BE" w:rsidP="001A5A35">
      <w:pPr>
        <w:pStyle w:val="NoSpacing"/>
        <w:bidi/>
        <w:rPr>
          <w:rFonts w:asciiTheme="majorBidi" w:hAnsiTheme="majorBidi" w:cstheme="majorBidi"/>
        </w:rPr>
      </w:pPr>
      <w:r w:rsidRPr="001A5A35">
        <w:rPr>
          <w:rFonts w:asciiTheme="majorBidi" w:hAnsiTheme="majorBidi" w:cstheme="majorBidi"/>
        </w:rPr>
        <w:t>…</w:t>
      </w:r>
      <w:r w:rsidR="00B74192" w:rsidRPr="001A5A35">
        <w:rPr>
          <w:rFonts w:asciiTheme="majorBidi" w:hAnsiTheme="majorBidi" w:cstheme="majorBidi"/>
          <w:rtl/>
        </w:rPr>
        <w:t xml:space="preserve">ובשבועה שמותר לקבל לר"ת בתוס' סנהדרין דף ס"ג מצד הפסד ממון וברא"ש מפורש דאף בזמנם שהיו עובדי ע"ז ממש מתיר ר"ת ומה שמסקי מ"מ בזה"ז כולן נשבעים בקדשים שלהם ואין תופסין בהם אלקות הוא עוד טעם עיין שם ברא"ש, וכן מפורש בתוס' ריש בכורות נמי הוא מחמת דהמשביע הא אינו רוצה כלל שישבע דכל כוונתו הוא שלא ישבע לשקר וישלם לו לכן ג"כ יש להחשיב זה אין מתכוין דהוא מתכוין שיודה שחייב ולא ישבע. ולכן נמי רק מדרבנן אסרו לעשות שותפות ולא לגרום שישבע אף שהוא נגד כוונתו ורצונו ולכן סובר שהתירו מפני שהוא כמציל מידם. </w:t>
      </w:r>
    </w:p>
    <w:p w14:paraId="3292E4E7" w14:textId="77777777" w:rsidR="004739C2" w:rsidRDefault="004739C2" w:rsidP="0088601D">
      <w:pPr>
        <w:pStyle w:val="NoSpacing"/>
        <w:bidi/>
        <w:jc w:val="right"/>
        <w:rPr>
          <w:rFonts w:asciiTheme="majorBidi" w:hAnsiTheme="majorBidi" w:cstheme="majorBidi"/>
        </w:rPr>
      </w:pPr>
    </w:p>
    <w:p w14:paraId="574DD699" w14:textId="080E95BB" w:rsidR="0088601D" w:rsidRPr="001A5A35" w:rsidRDefault="0088601D" w:rsidP="004739C2">
      <w:pPr>
        <w:pStyle w:val="NoSpacing"/>
        <w:bidi/>
        <w:jc w:val="right"/>
        <w:rPr>
          <w:rFonts w:asciiTheme="majorBidi" w:hAnsiTheme="majorBidi" w:cstheme="majorBidi"/>
        </w:rPr>
      </w:pPr>
      <w:r>
        <w:rPr>
          <w:rFonts w:asciiTheme="majorBidi" w:hAnsiTheme="majorBidi" w:cstheme="majorBidi"/>
        </w:rPr>
        <w:t xml:space="preserve">See Radical expansion of this prohibition in Maharam </w:t>
      </w:r>
      <w:proofErr w:type="spellStart"/>
      <w:r>
        <w:rPr>
          <w:rFonts w:asciiTheme="majorBidi" w:hAnsiTheme="majorBidi" w:cstheme="majorBidi"/>
        </w:rPr>
        <w:t>Shick</w:t>
      </w:r>
      <w:proofErr w:type="spellEnd"/>
      <w:r w:rsidR="004739C2">
        <w:rPr>
          <w:rFonts w:asciiTheme="majorBidi" w:hAnsiTheme="majorBidi" w:cstheme="majorBidi"/>
        </w:rPr>
        <w:t xml:space="preserve"> YD 171</w:t>
      </w:r>
      <w:r>
        <w:rPr>
          <w:rFonts w:asciiTheme="majorBidi" w:hAnsiTheme="majorBidi" w:cstheme="majorBidi"/>
        </w:rPr>
        <w:t xml:space="preserve"> regarding using secular dates:</w:t>
      </w:r>
    </w:p>
    <w:p w14:paraId="7FEDB6A6" w14:textId="01DFB3D9" w:rsidR="00F92B8D" w:rsidRPr="001A5A35" w:rsidRDefault="000055DA" w:rsidP="000055DA">
      <w:pPr>
        <w:pStyle w:val="NoSpacing"/>
        <w:bidi/>
        <w:rPr>
          <w:rFonts w:asciiTheme="majorBidi" w:hAnsiTheme="majorBidi" w:cstheme="majorBidi"/>
          <w:rtl/>
        </w:rPr>
      </w:pPr>
      <w:r w:rsidRPr="001A5A35">
        <w:rPr>
          <w:rFonts w:asciiTheme="majorBidi" w:hAnsiTheme="majorBidi" w:cstheme="majorBidi"/>
          <w:noProof/>
        </w:rPr>
        <w:drawing>
          <wp:inline distT="0" distB="0" distL="0" distR="0" wp14:anchorId="6FDD6E3D" wp14:editId="1CDB05E9">
            <wp:extent cx="2760133" cy="1676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64595" cy="1679110"/>
                    </a:xfrm>
                    <a:prstGeom prst="rect">
                      <a:avLst/>
                    </a:prstGeom>
                  </pic:spPr>
                </pic:pic>
              </a:graphicData>
            </a:graphic>
          </wp:inline>
        </w:drawing>
      </w:r>
      <w:bookmarkStart w:id="0" w:name="_GoBack"/>
      <w:bookmarkEnd w:id="0"/>
    </w:p>
    <w:sectPr w:rsidR="00F92B8D" w:rsidRPr="001A5A35" w:rsidSect="00433A06">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3B744" w14:textId="77777777" w:rsidR="00E86158" w:rsidRDefault="00E86158" w:rsidP="00BC5682">
      <w:pPr>
        <w:spacing w:after="0" w:line="240" w:lineRule="auto"/>
      </w:pPr>
      <w:r>
        <w:separator/>
      </w:r>
    </w:p>
  </w:endnote>
  <w:endnote w:type="continuationSeparator" w:id="0">
    <w:p w14:paraId="0A821661" w14:textId="77777777" w:rsidR="00E86158" w:rsidRDefault="00E86158" w:rsidP="00BC5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7568A" w14:textId="77777777" w:rsidR="00E86158" w:rsidRDefault="00E86158" w:rsidP="00BC5682">
      <w:pPr>
        <w:spacing w:after="0" w:line="240" w:lineRule="auto"/>
      </w:pPr>
      <w:r>
        <w:separator/>
      </w:r>
    </w:p>
  </w:footnote>
  <w:footnote w:type="continuationSeparator" w:id="0">
    <w:p w14:paraId="1B81B83F" w14:textId="77777777" w:rsidR="00E86158" w:rsidRDefault="00E86158" w:rsidP="00BC5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5DD2" w14:textId="5E413449" w:rsidR="00BC5682" w:rsidRDefault="00BC5682" w:rsidP="00BC5682">
    <w:pPr>
      <w:pStyle w:val="Header"/>
      <w:jc w:val="center"/>
    </w:pPr>
    <w:proofErr w:type="spellStart"/>
    <w:r>
      <w:t>Avodah</w:t>
    </w:r>
    <w:proofErr w:type="spellEnd"/>
    <w:r>
      <w:t xml:space="preserve"> Zara Shiur 6</w:t>
    </w:r>
    <w:r>
      <w:tab/>
      <w:t>R. Jonathan Ziring</w:t>
    </w:r>
    <w:r>
      <w:tab/>
      <w:t>jziring@migdalhatorah.org</w:t>
    </w:r>
  </w:p>
  <w:p w14:paraId="18D1172C" w14:textId="77777777" w:rsidR="00BC5682" w:rsidRDefault="00BC5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E3FB3"/>
    <w:multiLevelType w:val="hybridMultilevel"/>
    <w:tmpl w:val="F69E918A"/>
    <w:lvl w:ilvl="0" w:tplc="1009000F">
      <w:start w:val="1"/>
      <w:numFmt w:val="decimal"/>
      <w:lvlText w:val="%1."/>
      <w:lvlJc w:val="left"/>
      <w:pPr>
        <w:ind w:left="770" w:hanging="360"/>
      </w:pPr>
    </w:lvl>
    <w:lvl w:ilvl="1" w:tplc="10090019">
      <w:start w:val="1"/>
      <w:numFmt w:val="lowerLetter"/>
      <w:lvlText w:val="%2."/>
      <w:lvlJc w:val="left"/>
      <w:pPr>
        <w:ind w:left="1490" w:hanging="360"/>
      </w:pPr>
    </w:lvl>
    <w:lvl w:ilvl="2" w:tplc="1009001B">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56"/>
    <w:rsid w:val="000055DA"/>
    <w:rsid w:val="000A33EF"/>
    <w:rsid w:val="000B6293"/>
    <w:rsid w:val="001A5A35"/>
    <w:rsid w:val="001A6103"/>
    <w:rsid w:val="001D1AA3"/>
    <w:rsid w:val="00212588"/>
    <w:rsid w:val="00212D71"/>
    <w:rsid w:val="002375BE"/>
    <w:rsid w:val="002940E3"/>
    <w:rsid w:val="00332179"/>
    <w:rsid w:val="00433A06"/>
    <w:rsid w:val="004739C2"/>
    <w:rsid w:val="00477EC4"/>
    <w:rsid w:val="00483A61"/>
    <w:rsid w:val="0049255C"/>
    <w:rsid w:val="00521307"/>
    <w:rsid w:val="00541D2B"/>
    <w:rsid w:val="00622064"/>
    <w:rsid w:val="0064773C"/>
    <w:rsid w:val="006851E0"/>
    <w:rsid w:val="006C650F"/>
    <w:rsid w:val="00723107"/>
    <w:rsid w:val="00786B40"/>
    <w:rsid w:val="007E1C1D"/>
    <w:rsid w:val="0088601D"/>
    <w:rsid w:val="009464EB"/>
    <w:rsid w:val="00B02D0D"/>
    <w:rsid w:val="00B4078E"/>
    <w:rsid w:val="00B74192"/>
    <w:rsid w:val="00B948ED"/>
    <w:rsid w:val="00BC5682"/>
    <w:rsid w:val="00C255C6"/>
    <w:rsid w:val="00C91FF8"/>
    <w:rsid w:val="00D4416C"/>
    <w:rsid w:val="00D61F43"/>
    <w:rsid w:val="00D73056"/>
    <w:rsid w:val="00E63A16"/>
    <w:rsid w:val="00E86158"/>
    <w:rsid w:val="00F379AD"/>
    <w:rsid w:val="00F41C5F"/>
    <w:rsid w:val="00F92B8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E9A1"/>
  <w15:chartTrackingRefBased/>
  <w15:docId w15:val="{74D6EBD4-07BC-442E-B2F8-CC185EF8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56"/>
    <w:pPr>
      <w:ind w:left="720"/>
      <w:contextualSpacing/>
    </w:pPr>
  </w:style>
  <w:style w:type="paragraph" w:styleId="Header">
    <w:name w:val="header"/>
    <w:basedOn w:val="Normal"/>
    <w:link w:val="HeaderChar"/>
    <w:uiPriority w:val="99"/>
    <w:unhideWhenUsed/>
    <w:rsid w:val="00BC5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682"/>
  </w:style>
  <w:style w:type="paragraph" w:styleId="Footer">
    <w:name w:val="footer"/>
    <w:basedOn w:val="Normal"/>
    <w:link w:val="FooterChar"/>
    <w:uiPriority w:val="99"/>
    <w:unhideWhenUsed/>
    <w:rsid w:val="00BC5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682"/>
  </w:style>
  <w:style w:type="paragraph" w:styleId="NoSpacing">
    <w:name w:val="No Spacing"/>
    <w:uiPriority w:val="1"/>
    <w:qFormat/>
    <w:rsid w:val="001A5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2</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33</cp:revision>
  <dcterms:created xsi:type="dcterms:W3CDTF">2018-10-03T17:33:00Z</dcterms:created>
  <dcterms:modified xsi:type="dcterms:W3CDTF">2018-10-08T06:32:00Z</dcterms:modified>
</cp:coreProperties>
</file>