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D" w:rsidRPr="00DC1E2D" w:rsidRDefault="00DC1E2D" w:rsidP="00D919CB">
      <w:pPr>
        <w:spacing w:after="0"/>
        <w:rPr>
          <w:b/>
          <w:bCs/>
          <w:u w:val="single"/>
        </w:rPr>
      </w:pPr>
      <w:r w:rsidRPr="00DC1E2D">
        <w:rPr>
          <w:b/>
          <w:bCs/>
          <w:u w:val="single"/>
        </w:rPr>
        <w:t>What we know already</w:t>
      </w:r>
    </w:p>
    <w:p w:rsidR="00DC1E2D" w:rsidRDefault="00DC1E2D" w:rsidP="00D919CB">
      <w:pPr>
        <w:spacing w:after="0"/>
      </w:pPr>
    </w:p>
    <w:p w:rsidR="00D919CB" w:rsidRDefault="00D919CB" w:rsidP="00D919CB">
      <w:pPr>
        <w:spacing w:after="0"/>
      </w:pPr>
      <w:r>
        <w:t xml:space="preserve">1.   </w:t>
      </w:r>
      <w:r>
        <w:rPr>
          <w:rFonts w:hint="cs"/>
          <w:rtl/>
        </w:rPr>
        <w:t>רש"</w:t>
      </w:r>
      <w:proofErr w:type="gramStart"/>
      <w:r>
        <w:rPr>
          <w:rFonts w:hint="cs"/>
          <w:rtl/>
        </w:rPr>
        <w:t>י</w:t>
      </w:r>
      <w:r>
        <w:t xml:space="preserve"> </w:t>
      </w:r>
      <w:r w:rsidR="00DC1E2D">
        <w:t xml:space="preserve"> (</w:t>
      </w:r>
      <w:proofErr w:type="gramEnd"/>
      <w:r w:rsidR="00DC1E2D">
        <w:t>MM7 and MM8)</w:t>
      </w:r>
    </w:p>
    <w:p w:rsidR="00AF078E" w:rsidRDefault="00D919CB" w:rsidP="00D919CB">
      <w:pPr>
        <w:spacing w:after="0"/>
      </w:pPr>
      <w:r>
        <w:t xml:space="preserve"> a) </w:t>
      </w:r>
      <w:proofErr w:type="gramStart"/>
      <w:r>
        <w:t>understands</w:t>
      </w:r>
      <w:proofErr w:type="gramEnd"/>
      <w:r>
        <w:t xml:space="preserve"> </w:t>
      </w:r>
      <w:r>
        <w:rPr>
          <w:rFonts w:hint="cs"/>
          <w:rtl/>
        </w:rPr>
        <w:t>ר"י &amp; ר"ל</w:t>
      </w:r>
      <w:r>
        <w:t xml:space="preserve"> ‘s opinion that </w:t>
      </w:r>
      <w:r>
        <w:rPr>
          <w:rFonts w:hint="cs"/>
          <w:rtl/>
        </w:rPr>
        <w:t>אומר מותר</w:t>
      </w:r>
      <w:r>
        <w:t xml:space="preserve">  is </w:t>
      </w:r>
      <w:r>
        <w:rPr>
          <w:rFonts w:hint="cs"/>
          <w:rtl/>
        </w:rPr>
        <w:t>פטור מקרבן חטאת</w:t>
      </w:r>
      <w:r>
        <w:t xml:space="preserve"> based on the fact that they view it as </w:t>
      </w:r>
      <w:r>
        <w:rPr>
          <w:rFonts w:hint="cs"/>
          <w:rtl/>
        </w:rPr>
        <w:t>אונס</w:t>
      </w:r>
      <w:r>
        <w:t xml:space="preserve"> (as opposed to </w:t>
      </w:r>
      <w:r>
        <w:rPr>
          <w:rFonts w:hint="cs"/>
          <w:rtl/>
        </w:rPr>
        <w:t>שוגג</w:t>
      </w:r>
      <w:r>
        <w:t xml:space="preserve">)- </w:t>
      </w:r>
      <w:r w:rsidR="0024576F">
        <w:t>(</w:t>
      </w:r>
      <w:r>
        <w:t>MM7</w:t>
      </w:r>
      <w:r w:rsidR="0024576F">
        <w:t>)</w:t>
      </w:r>
    </w:p>
    <w:p w:rsidR="00D919CB" w:rsidRDefault="00D919CB" w:rsidP="00D919CB">
      <w:pPr>
        <w:spacing w:after="0"/>
      </w:pPr>
      <w:r>
        <w:t xml:space="preserve">b) </w:t>
      </w:r>
      <w:proofErr w:type="spellStart"/>
      <w:proofErr w:type="gramStart"/>
      <w:r w:rsidR="0024576F">
        <w:t>paskens</w:t>
      </w:r>
      <w:proofErr w:type="spellEnd"/>
      <w:proofErr w:type="gramEnd"/>
      <w:r w:rsidR="0024576F">
        <w:t xml:space="preserve"> like </w:t>
      </w:r>
      <w:r w:rsidR="0024576F">
        <w:rPr>
          <w:rFonts w:hint="cs"/>
          <w:rtl/>
        </w:rPr>
        <w:t>ר"ל</w:t>
      </w:r>
      <w:r w:rsidR="0024576F">
        <w:t xml:space="preserve"> &amp; </w:t>
      </w:r>
      <w:r w:rsidR="0024576F">
        <w:rPr>
          <w:rFonts w:hint="cs"/>
          <w:rtl/>
        </w:rPr>
        <w:t>ר"י</w:t>
      </w:r>
      <w:r w:rsidR="0024576F">
        <w:t xml:space="preserve"> (MM8)</w:t>
      </w:r>
    </w:p>
    <w:p w:rsidR="0024576F" w:rsidRDefault="0024576F" w:rsidP="0024576F">
      <w:pPr>
        <w:spacing w:after="0"/>
      </w:pPr>
      <w:r>
        <w:t xml:space="preserve">c)  </w:t>
      </w:r>
      <w:r>
        <w:rPr>
          <w:rFonts w:hint="cs"/>
          <w:rtl/>
        </w:rPr>
        <w:t>אומר מותר</w:t>
      </w:r>
      <w:r>
        <w:t xml:space="preserve"> is when a person deems </w:t>
      </w:r>
      <w:r>
        <w:rPr>
          <w:rFonts w:hint="cs"/>
          <w:rtl/>
        </w:rPr>
        <w:t>מותר</w:t>
      </w:r>
      <w:r>
        <w:t xml:space="preserve"> a whole category of </w:t>
      </w:r>
      <w:proofErr w:type="gramStart"/>
      <w:r>
        <w:rPr>
          <w:rFonts w:hint="cs"/>
          <w:rtl/>
        </w:rPr>
        <w:t>איסור</w:t>
      </w:r>
      <w:r>
        <w:t xml:space="preserve"> .</w:t>
      </w:r>
      <w:proofErr w:type="gramEnd"/>
      <w:r>
        <w:t xml:space="preserve">  A detail such as viewing </w:t>
      </w:r>
      <w:proofErr w:type="gramStart"/>
      <w:r>
        <w:t>bowing  (</w:t>
      </w:r>
      <w:proofErr w:type="gramEnd"/>
      <w:r>
        <w:t xml:space="preserve">as opposed to sacrificing) to </w:t>
      </w:r>
      <w:r>
        <w:rPr>
          <w:rFonts w:hint="cs"/>
          <w:rtl/>
        </w:rPr>
        <w:t>עבודה זרה</w:t>
      </w:r>
      <w:r>
        <w:t xml:space="preserve"> as </w:t>
      </w:r>
      <w:r>
        <w:rPr>
          <w:rFonts w:hint="cs"/>
          <w:rtl/>
        </w:rPr>
        <w:t>מותר</w:t>
      </w:r>
      <w:r>
        <w:t xml:space="preserve"> is a</w:t>
      </w:r>
      <w:r>
        <w:rPr>
          <w:rFonts w:hint="cs"/>
          <w:rtl/>
        </w:rPr>
        <w:t xml:space="preserve">שוגג </w:t>
      </w:r>
      <w:r>
        <w:t xml:space="preserve"> not an</w:t>
      </w:r>
      <w:r>
        <w:rPr>
          <w:rFonts w:hint="cs"/>
          <w:rtl/>
        </w:rPr>
        <w:t xml:space="preserve">אונס </w:t>
      </w:r>
      <w:r>
        <w:t xml:space="preserve"> (MM8)</w:t>
      </w:r>
    </w:p>
    <w:p w:rsidR="0024576F" w:rsidRDefault="0024576F" w:rsidP="0024576F">
      <w:pPr>
        <w:spacing w:after="0"/>
      </w:pPr>
    </w:p>
    <w:p w:rsidR="00DC1E2D" w:rsidRDefault="0024576F" w:rsidP="00DC1E2D">
      <w:pPr>
        <w:spacing w:after="0"/>
      </w:pPr>
      <w:r>
        <w:t xml:space="preserve">2.  </w:t>
      </w:r>
      <w:r>
        <w:rPr>
          <w:rFonts w:hint="cs"/>
          <w:rtl/>
        </w:rPr>
        <w:t>תוספות</w:t>
      </w:r>
      <w:r>
        <w:t xml:space="preserve"> (MM9) </w:t>
      </w:r>
    </w:p>
    <w:p w:rsidR="0024576F" w:rsidRDefault="0024576F" w:rsidP="00DC1E2D">
      <w:pPr>
        <w:spacing w:after="0"/>
      </w:pPr>
      <w:r>
        <w:t xml:space="preserve"> </w:t>
      </w:r>
      <w:proofErr w:type="gramStart"/>
      <w:r>
        <w:t>rejects</w:t>
      </w:r>
      <w:proofErr w:type="gramEnd"/>
      <w:r>
        <w:t xml:space="preserve"> </w:t>
      </w:r>
      <w:r>
        <w:rPr>
          <w:rFonts w:hint="cs"/>
          <w:rtl/>
        </w:rPr>
        <w:t>רש"י</w:t>
      </w:r>
      <w:r>
        <w:t xml:space="preserve">’s approach based on the fact that the </w:t>
      </w:r>
      <w:r>
        <w:rPr>
          <w:rFonts w:hint="cs"/>
          <w:rtl/>
        </w:rPr>
        <w:t>היקש</w:t>
      </w:r>
      <w:r>
        <w:t xml:space="preserve"> of </w:t>
      </w:r>
      <w:r>
        <w:rPr>
          <w:rFonts w:hint="cs"/>
          <w:rtl/>
        </w:rPr>
        <w:t>מונבז</w:t>
      </w:r>
      <w:r>
        <w:t xml:space="preserve"> is the basis for the </w:t>
      </w:r>
      <w:r w:rsidR="00DC1E2D">
        <w:rPr>
          <w:rFonts w:hint="cs"/>
          <w:rtl/>
        </w:rPr>
        <w:t>פטור</w:t>
      </w:r>
      <w:r w:rsidR="00DC1E2D">
        <w:t xml:space="preserve"> of</w:t>
      </w:r>
      <w:r>
        <w:t xml:space="preserve">  </w:t>
      </w:r>
      <w:r>
        <w:rPr>
          <w:rFonts w:hint="cs"/>
          <w:rtl/>
        </w:rPr>
        <w:t>ר"י &amp; ר"ל</w:t>
      </w:r>
      <w:r>
        <w:t xml:space="preserve">.  </w:t>
      </w:r>
      <w:r w:rsidR="00DC1E2D">
        <w:t xml:space="preserve">According to </w:t>
      </w:r>
      <w:r w:rsidR="00DC1E2D">
        <w:rPr>
          <w:rFonts w:hint="cs"/>
          <w:rtl/>
        </w:rPr>
        <w:t>תוספות</w:t>
      </w:r>
      <w:r w:rsidR="00DC1E2D">
        <w:t xml:space="preserve"> the </w:t>
      </w:r>
      <w:r w:rsidR="00DC1E2D">
        <w:rPr>
          <w:rFonts w:hint="cs"/>
          <w:rtl/>
        </w:rPr>
        <w:t>גמרא</w:t>
      </w:r>
      <w:r w:rsidR="00DC1E2D">
        <w:t xml:space="preserve"> makes it clear that the basis for </w:t>
      </w:r>
      <w:r w:rsidR="00DC1E2D">
        <w:rPr>
          <w:rFonts w:hint="cs"/>
          <w:rtl/>
        </w:rPr>
        <w:t>פטור</w:t>
      </w:r>
      <w:r w:rsidR="00DC1E2D">
        <w:t xml:space="preserve"> in an </w:t>
      </w:r>
      <w:r>
        <w:rPr>
          <w:rFonts w:hint="cs"/>
          <w:rtl/>
        </w:rPr>
        <w:t>אומר מותר</w:t>
      </w:r>
      <w:r>
        <w:t xml:space="preserve"> </w:t>
      </w:r>
      <w:r w:rsidR="00DC1E2D">
        <w:t xml:space="preserve">case acc. to </w:t>
      </w:r>
      <w:r w:rsidR="00DC1E2D">
        <w:rPr>
          <w:rFonts w:hint="cs"/>
          <w:rtl/>
        </w:rPr>
        <w:t>מונבז</w:t>
      </w:r>
      <w:r w:rsidR="00DC1E2D">
        <w:t xml:space="preserve"> (and thus </w:t>
      </w:r>
      <w:r w:rsidR="00DC1E2D">
        <w:rPr>
          <w:rFonts w:hint="cs"/>
          <w:rtl/>
        </w:rPr>
        <w:t>ר"י</w:t>
      </w:r>
      <w:r w:rsidR="00DC1E2D">
        <w:t xml:space="preserve"> &amp; </w:t>
      </w:r>
      <w:r w:rsidR="00DC1E2D">
        <w:rPr>
          <w:rFonts w:hint="cs"/>
          <w:rtl/>
        </w:rPr>
        <w:t>ר"ל</w:t>
      </w:r>
      <w:r w:rsidR="00DC1E2D">
        <w:t xml:space="preserve"> ) </w:t>
      </w:r>
      <w:r>
        <w:t xml:space="preserve">is </w:t>
      </w:r>
      <w:r w:rsidR="00DC1E2D">
        <w:t xml:space="preserve">that it is a type of </w:t>
      </w:r>
      <w:r w:rsidR="00DC1E2D">
        <w:rPr>
          <w:rFonts w:hint="cs"/>
          <w:rtl/>
        </w:rPr>
        <w:t>שוגג</w:t>
      </w:r>
      <w:r w:rsidR="00DC1E2D">
        <w:t xml:space="preserve"> that lacks </w:t>
      </w:r>
      <w:r w:rsidR="00DC1E2D">
        <w:rPr>
          <w:rFonts w:hint="cs"/>
          <w:rtl/>
        </w:rPr>
        <w:t>ידיעה</w:t>
      </w:r>
      <w:r w:rsidR="00DC1E2D">
        <w:t xml:space="preserve"> (similar to </w:t>
      </w:r>
      <w:r w:rsidR="00DC1E2D">
        <w:rPr>
          <w:rFonts w:hint="cs"/>
          <w:rtl/>
        </w:rPr>
        <w:t>מזיד</w:t>
      </w:r>
      <w:r w:rsidR="00DC1E2D">
        <w:t xml:space="preserve"> lacking </w:t>
      </w:r>
      <w:r w:rsidR="00DC1E2D">
        <w:rPr>
          <w:rFonts w:hint="cs"/>
          <w:rtl/>
        </w:rPr>
        <w:t>ידיעה</w:t>
      </w:r>
      <w:r w:rsidR="00DC1E2D">
        <w:t xml:space="preserve"> being </w:t>
      </w:r>
      <w:r w:rsidR="00DC1E2D">
        <w:rPr>
          <w:rFonts w:hint="cs"/>
          <w:rtl/>
        </w:rPr>
        <w:t>פטור</w:t>
      </w:r>
      <w:r w:rsidR="00DC1E2D">
        <w:t xml:space="preserve"> from </w:t>
      </w:r>
      <w:r w:rsidR="00DC1E2D">
        <w:rPr>
          <w:rFonts w:hint="cs"/>
          <w:rtl/>
        </w:rPr>
        <w:t>מיתה</w:t>
      </w:r>
      <w:r w:rsidR="00DC1E2D">
        <w:t xml:space="preserve">).  </w:t>
      </w:r>
    </w:p>
    <w:p w:rsidR="00DC1E2D" w:rsidRDefault="00DC1E2D" w:rsidP="00DC1E2D">
      <w:pPr>
        <w:spacing w:after="0"/>
      </w:pPr>
    </w:p>
    <w:p w:rsidR="00DC1E2D" w:rsidRDefault="00DC1E2D" w:rsidP="00DC1E2D">
      <w:pPr>
        <w:spacing w:after="0"/>
        <w:rPr>
          <w:b/>
          <w:bCs/>
          <w:u w:val="single"/>
        </w:rPr>
      </w:pPr>
      <w:r w:rsidRPr="00DC1E2D">
        <w:rPr>
          <w:b/>
          <w:bCs/>
          <w:u w:val="single"/>
        </w:rPr>
        <w:t>Points to analyze</w:t>
      </w:r>
    </w:p>
    <w:p w:rsidR="00DC1E2D" w:rsidRDefault="00DC1E2D" w:rsidP="00103BFA">
      <w:pPr>
        <w:spacing w:after="0"/>
      </w:pPr>
      <w:r>
        <w:t xml:space="preserve">1.   How do you think </w:t>
      </w:r>
      <w:r>
        <w:rPr>
          <w:rFonts w:hint="cs"/>
          <w:rtl/>
        </w:rPr>
        <w:t>רש"י</w:t>
      </w:r>
      <w:r>
        <w:t xml:space="preserve"> could reconcile </w:t>
      </w:r>
      <w:r>
        <w:rPr>
          <w:rFonts w:hint="cs"/>
          <w:rtl/>
        </w:rPr>
        <w:t>ר"ל</w:t>
      </w:r>
      <w:r w:rsidR="00103BFA">
        <w:t xml:space="preserve"> &amp;</w:t>
      </w:r>
      <w:r>
        <w:t xml:space="preserve"> </w:t>
      </w:r>
      <w:r w:rsidR="00103BFA">
        <w:rPr>
          <w:rFonts w:hint="cs"/>
          <w:rtl/>
        </w:rPr>
        <w:t>ר"י</w:t>
      </w:r>
      <w:r w:rsidR="00103BFA">
        <w:t xml:space="preserve"> </w:t>
      </w:r>
      <w:r w:rsidR="00103BFA">
        <w:t xml:space="preserve"> </w:t>
      </w:r>
      <w:r w:rsidR="00103BFA">
        <w:t xml:space="preserve"> </w:t>
      </w:r>
      <w:r>
        <w:t xml:space="preserve">with </w:t>
      </w:r>
      <w:proofErr w:type="spellStart"/>
      <w:r>
        <w:rPr>
          <w:rFonts w:hint="cs"/>
          <w:rtl/>
        </w:rPr>
        <w:t>מונבז</w:t>
      </w:r>
      <w:proofErr w:type="spellEnd"/>
      <w:r>
        <w:t>?</w:t>
      </w:r>
    </w:p>
    <w:p w:rsidR="00DC1E2D" w:rsidRDefault="00DC1E2D" w:rsidP="00DC1E2D">
      <w:pPr>
        <w:spacing w:after="0"/>
      </w:pPr>
      <w:r>
        <w:t xml:space="preserve">2. </w:t>
      </w:r>
      <w:r w:rsidR="001F7E76">
        <w:t xml:space="preserve"> </w:t>
      </w:r>
      <w:r w:rsidR="00A12427">
        <w:t xml:space="preserve"> </w:t>
      </w:r>
      <w:r>
        <w:t xml:space="preserve">Why do you think that </w:t>
      </w:r>
      <w:proofErr w:type="gramStart"/>
      <w:r>
        <w:rPr>
          <w:rFonts w:hint="cs"/>
          <w:rtl/>
        </w:rPr>
        <w:t>תוספות</w:t>
      </w:r>
      <w:r>
        <w:t xml:space="preserve">  </w:t>
      </w:r>
      <w:proofErr w:type="spellStart"/>
      <w:r>
        <w:t>can</w:t>
      </w:r>
      <w:proofErr w:type="gramEnd"/>
      <w:r>
        <w:t xml:space="preserve"> not</w:t>
      </w:r>
      <w:proofErr w:type="spellEnd"/>
      <w:r>
        <w:t xml:space="preserve"> reconcile </w:t>
      </w:r>
      <w:r>
        <w:rPr>
          <w:rFonts w:hint="cs"/>
          <w:rtl/>
        </w:rPr>
        <w:t>ר"י</w:t>
      </w:r>
      <w:r>
        <w:t xml:space="preserve"> and </w:t>
      </w:r>
      <w:r>
        <w:rPr>
          <w:rFonts w:hint="cs"/>
          <w:rtl/>
        </w:rPr>
        <w:t>ר"ל</w:t>
      </w:r>
      <w:r>
        <w:t xml:space="preserve"> with </w:t>
      </w:r>
      <w:r>
        <w:rPr>
          <w:rFonts w:hint="cs"/>
          <w:rtl/>
        </w:rPr>
        <w:t>מונבז</w:t>
      </w:r>
      <w:r>
        <w:t xml:space="preserve"> according to </w:t>
      </w:r>
      <w:r>
        <w:rPr>
          <w:rFonts w:hint="cs"/>
          <w:rtl/>
        </w:rPr>
        <w:t>רש"י</w:t>
      </w:r>
      <w:r>
        <w:t>?</w:t>
      </w:r>
    </w:p>
    <w:p w:rsidR="000E65D2" w:rsidRDefault="00DC1E2D" w:rsidP="000E65D2">
      <w:pPr>
        <w:spacing w:after="0"/>
      </w:pPr>
      <w:r>
        <w:t xml:space="preserve">3.  </w:t>
      </w:r>
      <w:r w:rsidR="00A12427">
        <w:t xml:space="preserve"> </w:t>
      </w:r>
      <w:r w:rsidR="00706546">
        <w:t xml:space="preserve">After going through MM8-11 carefully it comes out that almost every possibility regarding the status of </w:t>
      </w:r>
      <w:r w:rsidR="00706546">
        <w:rPr>
          <w:rFonts w:hint="cs"/>
          <w:rtl/>
        </w:rPr>
        <w:t>אומר מותר</w:t>
      </w:r>
      <w:r w:rsidR="00706546">
        <w:t xml:space="preserve"> can be found in the </w:t>
      </w:r>
      <w:r w:rsidR="00706546">
        <w:rPr>
          <w:rFonts w:hint="cs"/>
          <w:rtl/>
        </w:rPr>
        <w:t>ראשונים</w:t>
      </w:r>
      <w:r w:rsidR="00706546">
        <w:t xml:space="preserve">.   What does each of the following </w:t>
      </w:r>
      <w:r w:rsidR="000E65D2">
        <w:rPr>
          <w:rFonts w:hint="cs"/>
          <w:rtl/>
        </w:rPr>
        <w:t>שיטות</w:t>
      </w:r>
      <w:r w:rsidR="000E65D2">
        <w:t xml:space="preserve"> hold </w:t>
      </w:r>
      <w:r w:rsidR="00706546">
        <w:t xml:space="preserve">regarding </w:t>
      </w:r>
      <w:r w:rsidR="00706546">
        <w:rPr>
          <w:rFonts w:hint="cs"/>
          <w:rtl/>
        </w:rPr>
        <w:t>אומר מותר</w:t>
      </w:r>
      <w:r w:rsidR="000E65D2">
        <w:t xml:space="preserve"> (Answer either - </w:t>
      </w:r>
      <w:r w:rsidR="000E65D2">
        <w:rPr>
          <w:rFonts w:hint="cs"/>
          <w:rtl/>
        </w:rPr>
        <w:t>אונס</w:t>
      </w:r>
      <w:r w:rsidR="000E65D2">
        <w:t xml:space="preserve">, </w:t>
      </w:r>
      <w:r w:rsidR="000E65D2">
        <w:rPr>
          <w:rFonts w:hint="cs"/>
          <w:rtl/>
        </w:rPr>
        <w:t>שוגג קרוב לאונס</w:t>
      </w:r>
      <w:r w:rsidR="000E65D2">
        <w:t xml:space="preserve">, </w:t>
      </w:r>
      <w:r w:rsidR="000E65D2">
        <w:rPr>
          <w:rFonts w:hint="cs"/>
          <w:rtl/>
        </w:rPr>
        <w:t>שוגג גמור [חייב גלות ברציחה]</w:t>
      </w:r>
      <w:r w:rsidR="000E65D2">
        <w:t xml:space="preserve">, </w:t>
      </w:r>
      <w:r w:rsidR="000E65D2">
        <w:rPr>
          <w:rFonts w:hint="cs"/>
          <w:rtl/>
        </w:rPr>
        <w:t xml:space="preserve">שוגג קרוב </w:t>
      </w:r>
      <w:proofErr w:type="gramStart"/>
      <w:r w:rsidR="000E65D2">
        <w:rPr>
          <w:rFonts w:hint="cs"/>
          <w:rtl/>
        </w:rPr>
        <w:t>למזיד</w:t>
      </w:r>
      <w:r w:rsidR="000E65D2">
        <w:t xml:space="preserve"> )</w:t>
      </w:r>
      <w:proofErr w:type="gramEnd"/>
      <w:r w:rsidR="000E65D2">
        <w:t>.</w:t>
      </w:r>
    </w:p>
    <w:p w:rsidR="000E65D2" w:rsidRDefault="000E65D2" w:rsidP="000E65D2">
      <w:pPr>
        <w:spacing w:after="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  </w:t>
      </w:r>
      <w:r>
        <w:rPr>
          <w:rFonts w:hint="cs"/>
          <w:rtl/>
        </w:rPr>
        <w:t>רש"י אליבא דר"י ור"ל</w:t>
      </w:r>
      <w:r>
        <w:t xml:space="preserve"> (MM7, MM8) –</w:t>
      </w:r>
    </w:p>
    <w:p w:rsidR="000E65D2" w:rsidRDefault="000E65D2" w:rsidP="000E65D2">
      <w:pPr>
        <w:spacing w:after="0"/>
      </w:pPr>
      <w:r>
        <w:tab/>
        <w:t>ii</w:t>
      </w:r>
      <w:proofErr w:type="gramStart"/>
      <w:r>
        <w:t xml:space="preserve">.  </w:t>
      </w:r>
      <w:r>
        <w:rPr>
          <w:rFonts w:hint="cs"/>
          <w:rtl/>
        </w:rPr>
        <w:t>תוספות</w:t>
      </w:r>
      <w:proofErr w:type="gramEnd"/>
      <w:r>
        <w:rPr>
          <w:rFonts w:hint="cs"/>
          <w:rtl/>
        </w:rPr>
        <w:t xml:space="preserve"> אליבא דרבא</w:t>
      </w:r>
      <w:r>
        <w:t xml:space="preserve"> – (MM10) –</w:t>
      </w:r>
    </w:p>
    <w:p w:rsidR="000E65D2" w:rsidRDefault="000E65D2" w:rsidP="000E65D2">
      <w:pPr>
        <w:spacing w:after="0"/>
      </w:pPr>
      <w:r>
        <w:tab/>
        <w:t>iii</w:t>
      </w:r>
      <w:proofErr w:type="gramStart"/>
      <w:r>
        <w:t xml:space="preserve">.  </w:t>
      </w:r>
      <w:r>
        <w:rPr>
          <w:rFonts w:hint="cs"/>
          <w:rtl/>
        </w:rPr>
        <w:t>תוספות</w:t>
      </w:r>
      <w:proofErr w:type="gramEnd"/>
      <w:r>
        <w:rPr>
          <w:rFonts w:hint="cs"/>
          <w:rtl/>
        </w:rPr>
        <w:t xml:space="preserve"> אליבא דאביי</w:t>
      </w:r>
      <w:r>
        <w:t xml:space="preserve"> – (MM9) –</w:t>
      </w:r>
    </w:p>
    <w:p w:rsidR="000E65D2" w:rsidRDefault="000E65D2" w:rsidP="000E65D2">
      <w:pPr>
        <w:spacing w:after="0"/>
        <w:rPr>
          <w:rtl/>
        </w:rPr>
      </w:pPr>
      <w:r>
        <w:tab/>
        <w:t>iv.</w:t>
      </w:r>
      <w:r>
        <w:rPr>
          <w:rFonts w:hint="cs"/>
          <w:rtl/>
        </w:rPr>
        <w:t xml:space="preserve"> אליבא דרב ושמואל</w:t>
      </w:r>
      <w:r>
        <w:t xml:space="preserve"> </w:t>
      </w:r>
      <w:r>
        <w:rPr>
          <w:rFonts w:hint="cs"/>
          <w:rtl/>
        </w:rPr>
        <w:t>תוספות סנהדרין</w:t>
      </w:r>
      <w:r>
        <w:t xml:space="preserve"> (1</w:t>
      </w:r>
      <w:r w:rsidRPr="000E65D2">
        <w:rPr>
          <w:vertAlign w:val="superscript"/>
        </w:rPr>
        <w:t>st</w:t>
      </w:r>
      <w:r>
        <w:t xml:space="preserve"> </w:t>
      </w:r>
      <w:r>
        <w:rPr>
          <w:rFonts w:hint="cs"/>
          <w:rtl/>
        </w:rPr>
        <w:t>תירוץ</w:t>
      </w:r>
      <w:r>
        <w:t>) (MM11) –</w:t>
      </w:r>
    </w:p>
    <w:p w:rsidR="000E65D2" w:rsidRDefault="000E65D2" w:rsidP="007E6950">
      <w:pPr>
        <w:spacing w:after="0"/>
      </w:pPr>
      <w:r>
        <w:t xml:space="preserve">4.  Can one reconcile </w:t>
      </w:r>
      <w:r>
        <w:rPr>
          <w:rFonts w:hint="cs"/>
          <w:rtl/>
        </w:rPr>
        <w:t>רבא</w:t>
      </w:r>
      <w:r>
        <w:t xml:space="preserve"> in </w:t>
      </w:r>
      <w:r>
        <w:rPr>
          <w:rFonts w:hint="cs"/>
          <w:rtl/>
        </w:rPr>
        <w:t>מכות</w:t>
      </w:r>
      <w:r>
        <w:t xml:space="preserve"> with </w:t>
      </w:r>
      <w:r>
        <w:rPr>
          <w:rFonts w:hint="cs"/>
          <w:rtl/>
        </w:rPr>
        <w:t>רש"י</w:t>
      </w:r>
      <w:r>
        <w:t xml:space="preserve">’s position that </w:t>
      </w:r>
      <w:r>
        <w:rPr>
          <w:rFonts w:hint="cs"/>
          <w:rtl/>
        </w:rPr>
        <w:t>אומר מותר</w:t>
      </w:r>
      <w:r>
        <w:t xml:space="preserve"> is </w:t>
      </w:r>
      <w:proofErr w:type="gramStart"/>
      <w:r>
        <w:rPr>
          <w:rFonts w:hint="cs"/>
          <w:rtl/>
        </w:rPr>
        <w:t>אונס</w:t>
      </w:r>
      <w:r>
        <w:t xml:space="preserve"> </w:t>
      </w:r>
      <w:r w:rsidR="001C5DB1">
        <w:t xml:space="preserve"> (</w:t>
      </w:r>
      <w:proofErr w:type="gramEnd"/>
      <w:r w:rsidR="001C5DB1">
        <w:t>MM8)</w:t>
      </w:r>
      <w:r>
        <w:t xml:space="preserve">, or must one say that it is </w:t>
      </w:r>
      <w:r>
        <w:rPr>
          <w:rFonts w:hint="cs"/>
          <w:rtl/>
        </w:rPr>
        <w:t>רבה</w:t>
      </w:r>
      <w:r w:rsidR="007E6950">
        <w:t xml:space="preserve"> and we </w:t>
      </w:r>
      <w:proofErr w:type="spellStart"/>
      <w:r w:rsidR="007E6950">
        <w:t>pasken</w:t>
      </w:r>
      <w:proofErr w:type="spellEnd"/>
      <w:r w:rsidR="007E6950">
        <w:t xml:space="preserve"> like </w:t>
      </w:r>
      <w:r w:rsidR="007E6950">
        <w:rPr>
          <w:rFonts w:hint="cs"/>
          <w:rtl/>
        </w:rPr>
        <w:t>אביי</w:t>
      </w:r>
      <w:r w:rsidR="007E6950">
        <w:t xml:space="preserve">?  </w:t>
      </w:r>
      <w:r w:rsidR="00103BFA">
        <w:t>It is important that one makes sure to</w:t>
      </w:r>
      <w:r w:rsidR="001C5DB1">
        <w:t xml:space="preserve"> read the </w:t>
      </w:r>
      <w:r w:rsidR="001C5DB1">
        <w:rPr>
          <w:rFonts w:hint="cs"/>
          <w:rtl/>
        </w:rPr>
        <w:t>גמרא</w:t>
      </w:r>
      <w:r w:rsidR="001C5DB1">
        <w:t xml:space="preserve"> (MM12) and </w:t>
      </w:r>
      <w:r w:rsidR="001C5DB1">
        <w:rPr>
          <w:rFonts w:hint="cs"/>
          <w:rtl/>
        </w:rPr>
        <w:t>רש"י</w:t>
      </w:r>
      <w:r w:rsidR="001C5DB1">
        <w:t xml:space="preserve"> (MM13) before jumping to any conclusions in analyzing </w:t>
      </w:r>
      <w:r w:rsidR="001C5DB1">
        <w:rPr>
          <w:rFonts w:hint="cs"/>
          <w:rtl/>
        </w:rPr>
        <w:t>רש"י</w:t>
      </w:r>
      <w:r w:rsidR="001C5DB1">
        <w:t xml:space="preserve"> approach to the </w:t>
      </w:r>
      <w:r w:rsidR="001C5DB1">
        <w:rPr>
          <w:rFonts w:hint="cs"/>
          <w:rtl/>
        </w:rPr>
        <w:t>גמ'</w:t>
      </w:r>
      <w:r w:rsidR="001C5DB1">
        <w:t xml:space="preserve"> in </w:t>
      </w:r>
      <w:r w:rsidR="001C5DB1">
        <w:rPr>
          <w:rFonts w:hint="cs"/>
          <w:rtl/>
        </w:rPr>
        <w:t>מכות</w:t>
      </w:r>
      <w:r w:rsidR="001C5DB1">
        <w:t xml:space="preserve"> ?  </w:t>
      </w:r>
    </w:p>
    <w:p w:rsidR="00103BFA" w:rsidRDefault="00103BFA" w:rsidP="001C5DB1">
      <w:pPr>
        <w:spacing w:after="0"/>
      </w:pPr>
      <w:r>
        <w:t xml:space="preserve">5.  </w:t>
      </w:r>
      <w:r w:rsidR="001C5DB1">
        <w:t xml:space="preserve">In MM12 &amp; MM13, there is a comparison between two types of </w:t>
      </w:r>
      <w:r w:rsidR="001C5DB1">
        <w:rPr>
          <w:rFonts w:hint="cs"/>
          <w:rtl/>
        </w:rPr>
        <w:t>אומר מותר</w:t>
      </w:r>
      <w:r w:rsidR="001C5DB1">
        <w:t xml:space="preserve">?  Is this </w:t>
      </w:r>
      <w:r w:rsidR="001C5DB1">
        <w:rPr>
          <w:rFonts w:hint="cs"/>
          <w:rtl/>
        </w:rPr>
        <w:t>גמ'</w:t>
      </w:r>
      <w:r w:rsidR="001C5DB1">
        <w:t xml:space="preserve"> difficult acc. to </w:t>
      </w:r>
      <w:r w:rsidR="001C5DB1">
        <w:rPr>
          <w:rFonts w:hint="cs"/>
          <w:rtl/>
        </w:rPr>
        <w:t>רש"י</w:t>
      </w:r>
      <w:r w:rsidR="001C5DB1">
        <w:t xml:space="preserve"> in </w:t>
      </w:r>
      <w:r w:rsidR="001C5DB1">
        <w:rPr>
          <w:rFonts w:hint="cs"/>
          <w:rtl/>
        </w:rPr>
        <w:t>כריתות</w:t>
      </w:r>
      <w:r w:rsidR="001C5DB1">
        <w:t xml:space="preserve"> (MM8)?</w:t>
      </w:r>
    </w:p>
    <w:p w:rsidR="001C5DB1" w:rsidRDefault="001C5DB1" w:rsidP="00E10D74">
      <w:pPr>
        <w:spacing w:after="0"/>
      </w:pPr>
      <w:r>
        <w:t xml:space="preserve">6.  </w:t>
      </w:r>
      <w:r>
        <w:rPr>
          <w:rFonts w:hint="cs"/>
          <w:rtl/>
        </w:rPr>
        <w:t>רמב"ן</w:t>
      </w:r>
      <w:r>
        <w:t xml:space="preserve"> (MM14) and </w:t>
      </w:r>
      <w:proofErr w:type="spellStart"/>
      <w:r>
        <w:rPr>
          <w:rFonts w:hint="cs"/>
          <w:rtl/>
        </w:rPr>
        <w:t>ריטב"א</w:t>
      </w:r>
      <w:proofErr w:type="spellEnd"/>
      <w:r>
        <w:t xml:space="preserve"> (MM15) seem to ask </w:t>
      </w:r>
      <w:proofErr w:type="gramStart"/>
      <w:r>
        <w:rPr>
          <w:rFonts w:hint="cs"/>
          <w:rtl/>
        </w:rPr>
        <w:t>תוספות</w:t>
      </w:r>
      <w:r>
        <w:t xml:space="preserve"> 's</w:t>
      </w:r>
      <w:proofErr w:type="gramEnd"/>
      <w:r>
        <w:t xml:space="preserve"> question </w:t>
      </w:r>
      <w:r>
        <w:rPr>
          <w:rFonts w:hint="cs"/>
          <w:rtl/>
        </w:rPr>
        <w:t xml:space="preserve"> </w:t>
      </w:r>
      <w:r>
        <w:t xml:space="preserve">in MM 10. In fact they both give </w:t>
      </w:r>
      <w:proofErr w:type="gramStart"/>
      <w:r>
        <w:rPr>
          <w:rFonts w:hint="cs"/>
          <w:rtl/>
        </w:rPr>
        <w:t>תוספות</w:t>
      </w:r>
      <w:r>
        <w:t xml:space="preserve"> 's</w:t>
      </w:r>
      <w:proofErr w:type="gramEnd"/>
      <w:r>
        <w:t xml:space="preserve"> answer as one of their answers.  </w:t>
      </w:r>
      <w:r w:rsidR="00E10D74">
        <w:t xml:space="preserve">However, from a careful reading of the way they ask the question it should be clear that </w:t>
      </w:r>
      <w:r w:rsidR="00E10D74">
        <w:rPr>
          <w:rFonts w:hint="cs"/>
          <w:rtl/>
        </w:rPr>
        <w:t>תוספות</w:t>
      </w:r>
      <w:r w:rsidR="00E10D74">
        <w:t xml:space="preserve"> makes an assumption in his question that they don't.  Which answer given by the </w:t>
      </w:r>
      <w:proofErr w:type="spellStart"/>
      <w:r w:rsidR="00E10D74">
        <w:rPr>
          <w:rFonts w:hint="cs"/>
          <w:rtl/>
        </w:rPr>
        <w:t>ריטב"א</w:t>
      </w:r>
      <w:proofErr w:type="spellEnd"/>
      <w:r w:rsidR="00E10D74">
        <w:t xml:space="preserve"> (MM15) shows that he had a different starting point in his question than </w:t>
      </w:r>
      <w:r w:rsidR="00E10D74">
        <w:rPr>
          <w:rFonts w:hint="cs"/>
          <w:rtl/>
        </w:rPr>
        <w:t>תוספות</w:t>
      </w:r>
      <w:r w:rsidR="00E10D74">
        <w:t xml:space="preserve"> MM10.</w:t>
      </w:r>
    </w:p>
    <w:p w:rsidR="007E6950" w:rsidRDefault="007E6950" w:rsidP="007E6950">
      <w:pPr>
        <w:spacing w:after="0"/>
      </w:pPr>
      <w:bookmarkStart w:id="0" w:name="_GoBack"/>
      <w:bookmarkEnd w:id="0"/>
    </w:p>
    <w:p w:rsidR="00706546" w:rsidRPr="00DC1E2D" w:rsidRDefault="00706546" w:rsidP="000E65D2">
      <w:pPr>
        <w:spacing w:after="0"/>
        <w:rPr>
          <w:rtl/>
        </w:rPr>
      </w:pPr>
    </w:p>
    <w:sectPr w:rsidR="00706546" w:rsidRPr="00DC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2E8"/>
    <w:multiLevelType w:val="hybridMultilevel"/>
    <w:tmpl w:val="B0AE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774"/>
    <w:multiLevelType w:val="hybridMultilevel"/>
    <w:tmpl w:val="D61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A5F"/>
    <w:multiLevelType w:val="hybridMultilevel"/>
    <w:tmpl w:val="5D10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3"/>
    <w:rsid w:val="000E65D2"/>
    <w:rsid w:val="00103BFA"/>
    <w:rsid w:val="001C5DB1"/>
    <w:rsid w:val="001E1845"/>
    <w:rsid w:val="001F7E76"/>
    <w:rsid w:val="0024576F"/>
    <w:rsid w:val="00706546"/>
    <w:rsid w:val="007E6950"/>
    <w:rsid w:val="0087346A"/>
    <w:rsid w:val="00A12427"/>
    <w:rsid w:val="00A251F3"/>
    <w:rsid w:val="00CC6FA7"/>
    <w:rsid w:val="00D919CB"/>
    <w:rsid w:val="00DC1E2D"/>
    <w:rsid w:val="00E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YSMZ3</dc:creator>
  <cp:lastModifiedBy>User</cp:lastModifiedBy>
  <cp:revision>4</cp:revision>
  <dcterms:created xsi:type="dcterms:W3CDTF">2013-04-15T13:30:00Z</dcterms:created>
  <dcterms:modified xsi:type="dcterms:W3CDTF">2013-04-17T04:48:00Z</dcterms:modified>
</cp:coreProperties>
</file>