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כוח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spacing w:after="1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תשמעון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תשמעון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מיגדר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1"/>
        </w:rPr>
        <w:t xml:space="preserve">רשב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א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יבמות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צ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עמוד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תקנות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1"/>
        </w:rPr>
        <w:t xml:space="preserve">חידושי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הריטב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א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יבמות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צ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עמוד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מזלזלים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עוקרין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השעה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הבטיחה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לסמוך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ולישען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כהוראתן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לאזהרת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שעשאום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סייג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שהשעה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והמנהגות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והגזירות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והמנהגות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לחזק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ולתקן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גזרות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חמורין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הוראת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ועונשין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קובעין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מלהכשל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שהרופא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חותך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שיחיה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הזמנים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לעבור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שיתקיימו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להנהיג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מוסיף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נתפרשה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הכבשה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ועשאוהו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וסמכוהו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ותפילין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וציצית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קבעה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והביאוהו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וסקלוהו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באשקלון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וחקירה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וההתראה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1"/>
        </w:rPr>
        <w:t xml:space="preserve">תמים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דעים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להראב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"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ד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סימן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רג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"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אבל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אין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תמה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…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חשיבא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עקירה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מוסר</w:t>
      </w:r>
      <w:r w:rsidDel="00000000" w:rsidR="00000000" w:rsidRPr="00000000">
        <w:rPr>
          <w:sz w:val="24"/>
          <w:szCs w:val="24"/>
          <w:rtl w:val="1"/>
        </w:rPr>
        <w:t xml:space="preserve">}-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וחשוד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ללסטם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רדיפתו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קצת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למתיר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שאז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דומה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עקירה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היטב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שראוי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וטעמא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גוונא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חשיבא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עקירה</w:t>
      </w:r>
      <w:r w:rsidDel="00000000" w:rsidR="00000000" w:rsidRPr="00000000">
        <w:rPr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שלהכעיס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דלהכעיס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להכעיס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כשמרויח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גרמא</w:t>
      </w:r>
      <w:r w:rsidDel="00000000" w:rsidR="00000000" w:rsidRPr="00000000">
        <w:rPr>
          <w:sz w:val="24"/>
          <w:szCs w:val="24"/>
          <w:rtl w:val="1"/>
        </w:rPr>
        <w:t xml:space="preserve">… 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924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