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now going to switch to the first Perek: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first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half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Bekius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until</w:t>
      </w:r>
      <w:r w:rsidDel="00000000" w:rsidR="00000000" w:rsidRPr="00000000">
        <w:rPr>
          <w:sz w:val="24"/>
          <w:szCs w:val="24"/>
          <w:rtl w:val="0"/>
        </w:rPr>
        <w:t xml:space="preserve"> 3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0"/>
        </w:rPr>
        <w:t xml:space="preserve">"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/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'/.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החגר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והמוליך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מהגמוניא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להגמוניא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כמזרח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מאשקלון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ואשקלון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כדרום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לצפון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כצפון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לגיטין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בחותמיו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דאתיוהו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למיעוטא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דאצרוך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'!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דאצרוך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כריתות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אצרכוהו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להימניה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לשליח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מיפסל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יאמינוהו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בחותמיו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יאמינוהו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ופסיל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שיאמינוהו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ללעז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relationship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various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sz w:val="24"/>
          <w:szCs w:val="24"/>
          <w:rtl w:val="1"/>
        </w:rPr>
        <w:t xml:space="preserve">קולות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sz w:val="24"/>
          <w:szCs w:val="24"/>
          <w:rtl w:val="1"/>
        </w:rPr>
        <w:t xml:space="preserve">חומרות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various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stages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supposed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help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Masechta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start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takkana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dirabanan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during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delivery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גט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Instead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9</w:t>
      </w:r>
      <w:r w:rsidDel="00000000" w:rsidR="00000000" w:rsidRPr="00000000">
        <w:rPr>
          <w:sz w:val="24"/>
          <w:szCs w:val="24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perek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logical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topics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start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from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Recently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another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case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הקילו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regarding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signing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witnesses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over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temporary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text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גיטין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ויחתמו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לימדתנו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באבר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באבר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בשחור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ובשיחור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ואפצא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ונגדיה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בגיטי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בשחרורי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ולחתום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חסורי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מיחסרא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וחותמים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';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בגיטי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שחרורי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ולחתום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גמליאל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?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עגונות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גיטין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משכחינ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ותיזקק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גיטין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דמכשירי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וחתימת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נמנעו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מלהשביעה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הזקן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חותמין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תיקון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פרוזבול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וחתום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תקינו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דזמנין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התקינו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ובסימנא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חרותא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סמך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הושעיא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מכותא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דבקיאין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סימנייהו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חננאל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מכשרינן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בגיטין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מזוייף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עכשיו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כשחותמין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להתקיים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לינשא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חיישינן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לזיוף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ומעידין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ממשעבדי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מזוייף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((</w:t>
      </w: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שצ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לשיטתם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הפשט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לגרשה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עיגונא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להנשא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ימותו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ילכו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להביאם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להנשא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ומשו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תקנו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דחותמין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באופן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להחולקים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שצא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גירושין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דחיישי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).))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