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חסדא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יכילנא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למיפסלינהו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דעלמא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אילימא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ודילמא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אקנויי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אקנו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ואלא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ונתן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נתינת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גט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תדע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דשלחו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כשר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גופא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שלחו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כשר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תנינא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זית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דילמא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דחזי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לאיצטרופי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תניא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כשר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קלסוה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וקלסוה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כותיה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1"/>
        </w:rPr>
        <w:t xml:space="preserve">איהי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נותנת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קסח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עגונות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1"/>
        </w:rPr>
        <w:t xml:space="preserve">אקנויי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אקנו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זוזא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דיהיב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דהפקר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ונתן</w:t>
      </w:r>
      <w:r w:rsidDel="00000000" w:rsidR="00000000" w:rsidRPr="00000000">
        <w:rPr>
          <w:u w:val="single"/>
          <w:rtl w:val="1"/>
        </w:rPr>
        <w:t xml:space="preserve"> - </w:t>
      </w:r>
      <w:r w:rsidDel="00000000" w:rsidR="00000000" w:rsidRPr="00000000">
        <w:rPr>
          <w:u w:val="single"/>
          <w:rtl w:val="1"/>
        </w:rPr>
        <w:t xml:space="preserve">בר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נתינה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שיהא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שוה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פרוטה</w:t>
      </w:r>
      <w:r w:rsidDel="00000000" w:rsidR="00000000" w:rsidRPr="00000000">
        <w:rPr>
          <w:u w:val="single"/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1"/>
        </w:rPr>
        <w:t xml:space="preserve">העלה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1"/>
        </w:rPr>
        <w:t xml:space="preserve">דחזי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לאיצטרופי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לשכוב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תשיז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E">
      <w:pPr>
        <w:bidi w:val="1"/>
        <w:rPr>
          <w:u w:val="single"/>
        </w:rPr>
      </w:pPr>
      <w:r w:rsidDel="00000000" w:rsidR="00000000" w:rsidRPr="00000000">
        <w:rPr>
          <w:rtl w:val="1"/>
        </w:rPr>
        <w:t xml:space="preserve">מתני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כותבין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ותניא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בתוספתא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קיימא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כשר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קיימא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פסול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ותניא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בהאי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פירקא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עצמה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ז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אינה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מגורשת</w:t>
      </w:r>
      <w:r w:rsidDel="00000000" w:rsidR="00000000" w:rsidRPr="00000000">
        <w:rPr>
          <w:u w:val="single"/>
          <w:rtl w:val="1"/>
        </w:rPr>
        <w:t xml:space="preserve">. </w:t>
      </w:r>
      <w:r w:rsidDel="00000000" w:rsidR="00000000" w:rsidRPr="00000000">
        <w:rPr>
          <w:u w:val="single"/>
          <w:rtl w:val="1"/>
        </w:rPr>
        <w:t xml:space="preserve">ושלח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מורי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רבי</w:t>
      </w:r>
      <w:r w:rsidDel="00000000" w:rsidR="00000000" w:rsidRPr="00000000">
        <w:rPr>
          <w:u w:val="single"/>
          <w:rtl w:val="1"/>
        </w:rPr>
        <w:t xml:space="preserve">' </w:t>
      </w:r>
      <w:r w:rsidDel="00000000" w:rsidR="00000000" w:rsidRPr="00000000">
        <w:rPr>
          <w:u w:val="single"/>
          <w:rtl w:val="1"/>
        </w:rPr>
        <w:t xml:space="preserve">שמחה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זצ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למורי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רבי</w:t>
      </w:r>
      <w:r w:rsidDel="00000000" w:rsidR="00000000" w:rsidRPr="00000000">
        <w:rPr>
          <w:u w:val="single"/>
          <w:rtl w:val="1"/>
        </w:rPr>
        <w:t xml:space="preserve">' </w:t>
      </w:r>
      <w:r w:rsidDel="00000000" w:rsidR="00000000" w:rsidRPr="00000000">
        <w:rPr>
          <w:u w:val="single"/>
          <w:rtl w:val="1"/>
        </w:rPr>
        <w:t xml:space="preserve">אבי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העזרי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זה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לכתבו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איסורי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הנאה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שהרי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נותן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נייר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אותיות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והשיב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רחוקים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היכי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דדחינן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ומפלגינן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איסורי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הנאה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לעלה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זית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משום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דחזי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לאצטרופי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אף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דהשתא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מיהו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שוה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פרוטה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היא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הכי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נמי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איכא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לפלוגי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דאיסור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הנאה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איכא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נתינה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דיכול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להוליך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הנאה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לים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המלח</w:t>
      </w:r>
      <w:r w:rsidDel="00000000" w:rsidR="00000000" w:rsidRPr="00000000">
        <w:rPr>
          <w:rtl w:val="0"/>
        </w:rPr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ויש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שמותר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בביטול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ברוב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ואיכא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נתינה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שאין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ביד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המתגרשת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דאין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כאן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נתינה</w:t>
      </w:r>
      <w:r w:rsidDel="00000000" w:rsidR="00000000" w:rsidRPr="00000000">
        <w:rPr>
          <w:u w:val="single"/>
          <w:rtl w:val="0"/>
        </w:rPr>
        <w:t xml:space="preserve">: </w:t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Why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does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Ohr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Zaruah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say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נתינה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What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makes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difference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suggesting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practical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ability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so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or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fundamental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difference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reflected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these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hypothetical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differences</w:t>
      </w:r>
      <w:r w:rsidDel="00000000" w:rsidR="00000000" w:rsidRPr="00000000">
        <w:rPr>
          <w:rtl w:val="0"/>
        </w:rPr>
        <w:t xml:space="preserve">?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Why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should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נתינה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matter</w:t>
      </w:r>
      <w:r w:rsidDel="00000000" w:rsidR="00000000" w:rsidRPr="00000000">
        <w:rPr>
          <w:rtl w:val="0"/>
        </w:rPr>
        <w:t xml:space="preserve">?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ירושלמי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וילנא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מגורשת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אמר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אינה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מגורשת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זעירא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פליגין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מגורשת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מגורשת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חברייה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לחומרין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לחומרין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מגורשת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לחומרין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מגורשת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לחומרין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1"/>
        </w:rPr>
        <w:t xml:space="preserve">מהו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דקיסרין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יעקב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מגורשת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מגורשת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rPr/>
      </w:pP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תרג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F">
      <w:pPr>
        <w:bidi w:val="1"/>
        <w:rPr/>
      </w:pPr>
      <w:r w:rsidDel="00000000" w:rsidR="00000000" w:rsidRPr="00000000">
        <w:rPr>
          <w:rtl w:val="1"/>
        </w:rPr>
        <w:t xml:space="preserve">שאלת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שנדרה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מפלוני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? </w:t>
      </w:r>
    </w:p>
    <w:p w:rsidR="00000000" w:rsidDel="00000000" w:rsidP="00000000" w:rsidRDefault="00000000" w:rsidRPr="00000000" w14:paraId="00000020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….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דסתמא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דשלחו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וקבעו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בהילכתא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דפרישו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בהדיא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באיסורים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נקטינן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סתמא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תימצי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דגמרין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פליגא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באיסורי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מגורשת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u w:val="single"/>
          <w:rtl w:val="1"/>
        </w:rPr>
        <w:t xml:space="preserve">אפילו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הכי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לגבי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קידושין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אשכחן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בגמרא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הכין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Why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would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distinguish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between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גירושין</w:t>
      </w:r>
      <w:r w:rsidDel="00000000" w:rsidR="00000000" w:rsidRPr="00000000">
        <w:rPr>
          <w:rtl w:val="0"/>
        </w:rPr>
        <w:t xml:space="preserve">? </w:t>
      </w:r>
      <w:r w:rsidDel="00000000" w:rsidR="00000000" w:rsidRPr="00000000">
        <w:rPr>
          <w:rtl w:val="0"/>
        </w:rPr>
        <w:t xml:space="preserve">Why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might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fine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איסורי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while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would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disqualified</w:t>
      </w:r>
      <w:r w:rsidDel="00000000" w:rsidR="00000000" w:rsidRPr="00000000">
        <w:rPr>
          <w:rtl w:val="0"/>
        </w:rPr>
        <w:t xml:space="preserve">?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rPr/>
      </w:pPr>
      <w:r w:rsidDel="00000000" w:rsidR="00000000" w:rsidRPr="00000000">
        <w:rPr>
          <w:rtl w:val="1"/>
        </w:rPr>
        <w:t xml:space="preserve">קצות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7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מקומו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ונסתפקתי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בראובן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שבתוכו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ומתנתו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כאחד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הזורק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עז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חצירה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שקנתה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כאחד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שחרור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שבחצר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8">
      <w:pPr>
        <w:bidi w:val="1"/>
        <w:rPr/>
      </w:pPr>
      <w:r w:rsidDel="00000000" w:rsidR="00000000" w:rsidRPr="00000000">
        <w:rPr>
          <w:rtl w:val="1"/>
        </w:rPr>
        <w:t xml:space="preserve">ולאחר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פשיטא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דהחצר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יזכה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להמקבל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ובשטרו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כאחד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נראה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דגט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שאני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דגט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אשה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ודעבד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בעי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זכיה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שיזכה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דרך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זכיה</w:t>
      </w:r>
      <w:r w:rsidDel="00000000" w:rsidR="00000000" w:rsidRPr="00000000">
        <w:rPr>
          <w:rtl w:val="0"/>
        </w:rPr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כיון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דאשה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ועבד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בע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כ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ואין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זכיה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בע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כ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אלא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ודאי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דגבי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אשה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בעי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ונתן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בידה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והקנאה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באיסורי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בתשובה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תר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דס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באיסורי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אלא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ודאי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משום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דגירושין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בע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כ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בעי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זכיה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כלל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ונתן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בידה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9">
      <w:pPr>
        <w:bidi w:val="1"/>
        <w:rPr/>
      </w:pPr>
      <w:r w:rsidDel="00000000" w:rsidR="00000000" w:rsidRPr="00000000">
        <w:rPr>
          <w:rtl w:val="1"/>
        </w:rPr>
        <w:t xml:space="preserve">ולפ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ירמיה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ואקח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שיזכה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u w:val="single"/>
          <w:rtl w:val="1"/>
        </w:rPr>
        <w:t xml:space="preserve">באיסורי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הנאה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שייך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תורת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זכיה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בתשובה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הנזכרת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ואפ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גבי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קידושין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מהני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באיסורי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הנאה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וכמ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ש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בחלקת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מחוקק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באה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ע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סימן</w:t>
      </w:r>
      <w:r w:rsidDel="00000000" w:rsidR="00000000" w:rsidRPr="00000000">
        <w:rPr>
          <w:u w:val="single"/>
          <w:rtl w:val="1"/>
        </w:rPr>
        <w:t xml:space="preserve"> (</w:t>
      </w:r>
      <w:r w:rsidDel="00000000" w:rsidR="00000000" w:rsidRPr="00000000">
        <w:rPr>
          <w:u w:val="single"/>
          <w:rtl w:val="1"/>
        </w:rPr>
        <w:t xml:space="preserve">ל</w:t>
      </w:r>
      <w:r w:rsidDel="00000000" w:rsidR="00000000" w:rsidRPr="00000000">
        <w:rPr>
          <w:u w:val="single"/>
          <w:rtl w:val="1"/>
        </w:rPr>
        <w:t xml:space="preserve">') [</w:t>
      </w:r>
      <w:r w:rsidDel="00000000" w:rsidR="00000000" w:rsidRPr="00000000">
        <w:rPr>
          <w:u w:val="single"/>
          <w:rtl w:val="1"/>
        </w:rPr>
        <w:t xml:space="preserve">ל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ב</w:t>
      </w:r>
      <w:r w:rsidDel="00000000" w:rsidR="00000000" w:rsidRPr="00000000">
        <w:rPr>
          <w:u w:val="single"/>
          <w:rtl w:val="1"/>
        </w:rPr>
        <w:t xml:space="preserve">] (</w:t>
      </w:r>
      <w:r w:rsidDel="00000000" w:rsidR="00000000" w:rsidRPr="00000000">
        <w:rPr>
          <w:u w:val="single"/>
          <w:rtl w:val="1"/>
        </w:rPr>
        <w:t xml:space="preserve">סק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ו</w:t>
      </w:r>
      <w:r w:rsidDel="00000000" w:rsidR="00000000" w:rsidRPr="00000000">
        <w:rPr>
          <w:u w:val="single"/>
          <w:rtl w:val="1"/>
        </w:rPr>
        <w:t xml:space="preserve">) </w:t>
      </w:r>
      <w:r w:rsidDel="00000000" w:rsidR="00000000" w:rsidRPr="00000000">
        <w:rPr>
          <w:u w:val="single"/>
          <w:rtl w:val="1"/>
        </w:rPr>
        <w:t xml:space="preserve">משום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דאתקש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ויצאה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והיתה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וכיון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בעינן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בגט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אשה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ועבד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תורת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זכיה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בשטר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ונתן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בידה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בחצרה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דהחצר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כאחד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שיזכה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הזורק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גיטה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כאחד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נתינתו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A">
      <w:pPr>
        <w:bidi w:val="1"/>
        <w:rPr/>
      </w:pPr>
      <w:r w:rsidDel="00000000" w:rsidR="00000000" w:rsidRPr="00000000">
        <w:rPr>
          <w:rtl w:val="1"/>
        </w:rPr>
        <w:t xml:space="preserve">ובהכי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דפסול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רווחת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' (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וכדאיתא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השולח</w:t>
      </w:r>
      <w:r w:rsidDel="00000000" w:rsidR="00000000" w:rsidRPr="00000000">
        <w:rPr>
          <w:rtl w:val="1"/>
        </w:rPr>
        <w:t xml:space="preserve">) [</w:t>
      </w:r>
      <w:r w:rsidDel="00000000" w:rsidR="00000000" w:rsidRPr="00000000">
        <w:rPr>
          <w:rtl w:val="1"/>
        </w:rPr>
        <w:t xml:space="preserve">המגרש</w:t>
      </w:r>
      <w:r w:rsidDel="00000000" w:rsidR="00000000" w:rsidRPr="00000000">
        <w:rPr>
          <w:rtl w:val="1"/>
        </w:rPr>
        <w:t xml:space="preserve">] (</w:t>
      </w:r>
      <w:r w:rsidDel="00000000" w:rsidR="00000000" w:rsidRPr="00000000">
        <w:rPr>
          <w:rtl w:val="1"/>
        </w:rPr>
        <w:t xml:space="preserve">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חורין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למקני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השולח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') [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] (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המפקיר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חורין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בשטרו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חורין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ואכתי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2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E">
      <w:pPr>
        <w:bidi w:val="1"/>
        <w:rPr/>
      </w:pPr>
      <w:r w:rsidDel="00000000" w:rsidR="00000000" w:rsidRPr="00000000">
        <w:rPr>
          <w:rtl w:val="1"/>
        </w:rPr>
        <w:t xml:space="preserve">בענין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</w:p>
    <w:p w:rsidR="00000000" w:rsidDel="00000000" w:rsidP="00000000" w:rsidRDefault="00000000" w:rsidRPr="00000000" w14:paraId="0000002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bidi w:val="1"/>
        <w:rPr/>
      </w:pPr>
      <w:r w:rsidDel="00000000" w:rsidR="00000000" w:rsidRPr="00000000">
        <w:rPr>
          <w:rtl w:val="1"/>
        </w:rPr>
        <w:t xml:space="preserve">בהא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דקיימא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דקיימא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דשור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הנסקל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מופקר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הרי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דאינו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יכול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להפקיע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איסורי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הנאה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מרשותו</w:t>
      </w:r>
      <w:r w:rsidDel="00000000" w:rsidR="00000000" w:rsidRPr="00000000">
        <w:rPr>
          <w:u w:val="single"/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והנייר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מגורשת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ובשלמא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והנייר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מגורשת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דהנייר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כריתות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להחזירו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כריתות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דבלא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הנייר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נתינה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כלל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יקשה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הכא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קטע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להגרז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סה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ברית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אברהם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עמ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שדמ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3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Can you use Issurei hanaah lichatchilah</w:t>
      </w:r>
    </w:p>
    <w:p w:rsidR="00000000" w:rsidDel="00000000" w:rsidP="00000000" w:rsidRDefault="00000000" w:rsidRPr="00000000" w14:paraId="0000003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גירושין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9">
      <w:pPr>
        <w:bidi w:val="1"/>
        <w:rPr/>
      </w:pPr>
      <w:r w:rsidDel="00000000" w:rsidR="00000000" w:rsidRPr="00000000">
        <w:rPr>
          <w:rtl w:val="1"/>
        </w:rPr>
        <w:t xml:space="preserve">כותבין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u w:val="single"/>
          <w:rtl w:val="1"/>
        </w:rPr>
        <w:t xml:space="preserve">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הכל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כותבין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הגט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ואפילו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איסורי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הנאה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וכותבין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להזדייף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מסירה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D">
      <w:pPr>
        <w:bidi w:val="1"/>
        <w:rPr/>
      </w:pPr>
      <w:r w:rsidDel="00000000" w:rsidR="00000000" w:rsidRPr="00000000">
        <w:rPr>
          <w:rtl w:val="1"/>
        </w:rPr>
        <w:t xml:space="preserve">בכתובת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קעקע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ויקעקע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ובכחול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כדתנן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דמכות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</w:t>
      </w:r>
      <w:r w:rsidDel="00000000" w:rsidR="00000000" w:rsidRPr="00000000">
        <w:rPr>
          <w:rtl w:val="1"/>
        </w:rPr>
        <w:t xml:space="preserve">.) </w:t>
      </w:r>
      <w:r w:rsidDel="00000000" w:rsidR="00000000" w:rsidRPr="00000000">
        <w:rPr>
          <w:rtl w:val="1"/>
        </w:rPr>
        <w:t xml:space="preserve">ולר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וקעקע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ככתובת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קעקע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הויא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איסורי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הנאה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כשר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אף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דאסור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לכתוב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דהא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מיתהני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באיסורי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הנאה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bidi w:val="1"/>
        <w:rPr/>
      </w:pPr>
      <w:r w:rsidDel="00000000" w:rsidR="00000000" w:rsidRPr="00000000">
        <w:rPr/>
        <w:drawing>
          <wp:inline distB="114300" distT="114300" distL="114300" distR="114300">
            <wp:extent cx="5943600" cy="33401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0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דרקיעא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