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דיו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גבי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דיו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בסיקרא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ובקומוס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ובקנקנתום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העבד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דיותא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סקרתא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קומוס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קומא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קנקנתום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דאושכפי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לאתויי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לאתויי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ואפצא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בשחור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ובשיחור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ויחתמו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מקרעין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בשחור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ובשיחור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ואפצא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תוראה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ונגדיה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דלקמן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עושהו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מיתוקמא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בסיקרא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בקומוס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ובקנקנתום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ברגלו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ובמרפיקו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זייני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נוטריקון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  <w:t xml:space="preserve">….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שחמימות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המעביר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שהעביר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קולמוס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גט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סולובייצ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סולובייצ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בכל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שמחשבת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הכותב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התקיימה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שאותו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הכותב</w:t>
      </w:r>
      <w:r w:rsidDel="00000000" w:rsidR="00000000" w:rsidRPr="00000000">
        <w:rPr>
          <w:u w:val="single"/>
          <w:rtl w:val="1"/>
        </w:rPr>
        <w:t xml:space="preserve"> – </w:t>
      </w:r>
      <w:r w:rsidDel="00000000" w:rsidR="00000000" w:rsidRPr="00000000">
        <w:rPr>
          <w:u w:val="single"/>
          <w:rtl w:val="1"/>
        </w:rPr>
        <w:t xml:space="preserve">ניתן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לחייבו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בהלכות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גיטין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צורך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כתיבה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ולכן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פסול</w:t>
      </w:r>
      <w:r w:rsidDel="00000000" w:rsidR="00000000" w:rsidRPr="00000000">
        <w:rPr>
          <w:rtl w:val="0"/>
        </w:rPr>
        <w:t xml:space="preserve">."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חידושי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גיטין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בענין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ולכאורה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ולכאורה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דוקא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תלוי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בכתב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אדרבא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תלוי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במחיקת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ולפי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עיקר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מחלוקתם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ועוד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דבאמת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תלוי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דכותב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וביאורו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והנ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התירוצים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דלתירוץ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פלוגתא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משא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לתירוץ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לכו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ופליגי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מיימוני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כתיבה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תיקון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מועיל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מצינו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דבתיקון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דבאמת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דפטור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ותיקון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דמחלקינן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ויחתמו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ניכרת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ומוכרח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כמש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הוכחנו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מדברי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הגמי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כנמחק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הבאנו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והריטב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מתרצי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התוס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באופן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ומדבריהם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נלמד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בספר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התרומה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העברת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קולמוס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לשוויי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במרדכי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ומדמועיל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וכפי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התרומה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סובר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הוספה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ושניהם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לאשוויי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והקשינו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לעיין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לדברי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הגמי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דלפי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והריטב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מחשבת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ולפי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בעצמו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ירחון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המתיבתא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u w:val="single"/>
          <w:rtl w:val="1"/>
        </w:rPr>
        <w:t xml:space="preserve">אירע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בריסק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שחתמו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וחזרו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וחתמו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חתימתם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ונתעוררה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בהכשרו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ונתן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שיחתמו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שלישית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חתימתם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נ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לשמה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u w:val="single"/>
        </w:rPr>
      </w:pP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חיים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דמספקינן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השאלה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פשיטא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מעליו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השאלה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חתימתם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ספיקא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נפקא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כנמחק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הגר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גדר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דבעינן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נמצא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עליו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גמור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המחיקה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שסד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ובמנחות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הקומץ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הקולמס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assumes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סקרא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works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However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unlike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eidim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seems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accept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work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Only in Brisk could this possibly happen…..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