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Regarding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necessity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המתקיים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Rav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Lichtenstein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discussion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Sefer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המתקיים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המתקיים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אופנים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ספר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המתקיים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</w:t>
      </w:r>
      <w:r w:rsidDel="00000000" w:rsidR="00000000" w:rsidRPr="00000000">
        <w:rPr>
          <w:rtl w:val="1"/>
        </w:rPr>
        <w:t xml:space="preserve">:).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[1].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במדויק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המתקיים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המתקיים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מתעוררת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u w:val="single"/>
        </w:rPr>
      </w:pP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המרדכי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מחדש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לתת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לאישה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עדיין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כיוון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נחשב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מתקיים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–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מהמרדכי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להזדייף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לזיוף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ככתב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מחוקק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מתלבט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המרדכי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'</w:t>
      </w:r>
      <w:r w:rsidDel="00000000" w:rsidR="00000000" w:rsidRPr="00000000">
        <w:rPr>
          <w:u w:val="single"/>
          <w:rtl w:val="1"/>
        </w:rPr>
        <w:t xml:space="preserve">חלקת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מחוקק</w:t>
      </w:r>
      <w:r w:rsidDel="00000000" w:rsidR="00000000" w:rsidRPr="00000000">
        <w:rPr>
          <w:u w:val="single"/>
          <w:rtl w:val="1"/>
        </w:rPr>
        <w:t xml:space="preserve">', </w:t>
      </w:r>
      <w:r w:rsidDel="00000000" w:rsidR="00000000" w:rsidRPr="00000000">
        <w:rPr>
          <w:u w:val="single"/>
          <w:rtl w:val="1"/>
        </w:rPr>
        <w:t xml:space="preserve">שהגט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בדיעבד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שבסופו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המתקיים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'</w:t>
      </w:r>
      <w:r w:rsidDel="00000000" w:rsidR="00000000" w:rsidRPr="00000000">
        <w:rPr>
          <w:u w:val="single"/>
          <w:rtl w:val="1"/>
        </w:rPr>
        <w:t xml:space="preserve">בית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שמואל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עצמו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סובר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כך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לדעתו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נקבע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ברגע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המסירה</w:t>
      </w:r>
      <w:r w:rsidDel="00000000" w:rsidR="00000000" w:rsidRPr="00000000">
        <w:rPr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המתקיים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מגדים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מגדים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[2].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שמתחשבים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שהתרחש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המתקיים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כבישול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המבשל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מתייחסת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יתייבש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[1] </w:t>
      </w:r>
      <w:r w:rsidDel="00000000" w:rsidR="00000000" w:rsidRPr="00000000">
        <w:rPr>
          <w:rtl w:val="1"/>
        </w:rPr>
        <w:t xml:space="preserve">הדרישה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[2]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אגלי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', '</w:t>
      </w:r>
      <w:r w:rsidDel="00000000" w:rsidR="00000000" w:rsidRPr="00000000">
        <w:rPr>
          <w:rtl w:val="1"/>
        </w:rPr>
        <w:t xml:space="preserve">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chakirah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between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seeing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Ritual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Practical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document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explain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positions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achronim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regarding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ink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How would the Ohr Zaruah’s in-between Formal approach regard this question?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Regarding what it’s written on: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ליברמן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1C">
      <w:pPr>
        <w:bidi w:val="1"/>
        <w:rPr>
          <w:u w:val="single"/>
        </w:rPr>
      </w:pP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אגוזין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קיימא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שיכתוב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קיימא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קיימא</w:t>
      </w:r>
      <w:r w:rsidDel="00000000" w:rsidR="00000000" w:rsidRPr="00000000">
        <w:rPr>
          <w:u w:val="single"/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Rambam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doesn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needs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written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something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שרישומו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וקלקנתוס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ובשיחור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להזדייף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quite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omission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think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omission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regarding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writing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Shabbos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explicitly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exclude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וקלקנתוס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The Ran makes a general distinction between writing on Shabbat vs writing in other circumstances, which may be conceptually applicable. [regarding relief text: </w:t>
      </w:r>
      <w:r w:rsidDel="00000000" w:rsidR="00000000" w:rsidRPr="00000000">
        <w:rPr>
          <w:color w:val="efefef"/>
          <w:highlight w:val="black"/>
          <w:rtl w:val="0"/>
        </w:rPr>
        <w:t xml:space="preserve">abc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תוכית</w:t>
      </w:r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דלחזי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דיו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גבי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דיו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לאתויי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…. </w:t>
      </w:r>
      <w:r w:rsidDel="00000000" w:rsidR="00000000" w:rsidRPr="00000000">
        <w:rPr>
          <w:rtl w:val="1"/>
        </w:rPr>
        <w:t xml:space="preserve">ונגדיה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כהנא</w:t>
      </w:r>
      <w:r w:rsidDel="00000000" w:rsidR="00000000" w:rsidRPr="00000000">
        <w:rPr>
          <w:rtl w:val="1"/>
        </w:rPr>
        <w:t xml:space="preserve">."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מיתוקמא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