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קדושת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הפירות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תבואתה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קודש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שביעית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תופסת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דמיה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שנאמר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תופס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ואסור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שביעית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תופסת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ואסורה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לחולין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לחולין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בהוייתה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מתבערין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ונכנסו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ליברמן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...</w:t>
      </w:r>
      <w:r w:rsidDel="00000000" w:rsidR="00000000" w:rsidRPr="00000000">
        <w:rPr>
          <w:b w:val="1"/>
          <w:rtl w:val="1"/>
        </w:rPr>
        <w:t xml:space="preserve">שמן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שביעית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סכין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טמאות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מפשפשו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טמאות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קוק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ז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חוסמין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וסנדל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טמאות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משפשפו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טמאות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טמאות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לסוריא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מאכילין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שקצץ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מזונותיו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ומאכילין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ומאכילין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האכסניא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השגות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העשין</w:t>
      </w:r>
    </w:p>
    <w:p w:rsidR="00000000" w:rsidDel="00000000" w:rsidP="00000000" w:rsidRDefault="00000000" w:rsidRPr="00000000" w14:paraId="0000001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שלישית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ששכח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שאמרה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לסחורה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לסחורה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בכורות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ונכפלה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משפטי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תעזוב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תעזוב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מגילת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</w:p>
    <w:p w:rsidR="00000000" w:rsidDel="00000000" w:rsidP="00000000" w:rsidRDefault="00000000" w:rsidRPr="00000000" w14:paraId="0000001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פירושו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באכילתם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לאכלה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סחורה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משביעית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'):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תשתבש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': "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שנתקלקל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צורתו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שנתקלקלו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יפסדו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ובהיותם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יפסדו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טובים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לכפלו</w:t>
      </w:r>
      <w:r w:rsidDel="00000000" w:rsidR="00000000" w:rsidRPr="00000000">
        <w:rPr>
          <w:rtl w:val="1"/>
        </w:rPr>
        <w:t xml:space="preserve">.   </w:t>
      </w:r>
      <w:r w:rsidDel="00000000" w:rsidR="00000000" w:rsidRPr="00000000">
        <w:rPr>
          <w:rtl w:val="1"/>
        </w:rPr>
        <w:t xml:space="preserve">והראיה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דיומא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משל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לשתי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הלוקין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להפסד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למלקות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</w:p>
    <w:p w:rsidR="00000000" w:rsidDel="00000000" w:rsidP="00000000" w:rsidRDefault="00000000" w:rsidRPr="00000000" w14:paraId="0000001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בתענית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חזון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</w:p>
    <w:p w:rsidR="00000000" w:rsidDel="00000000" w:rsidP="00000000" w:rsidRDefault="00000000" w:rsidRPr="00000000" w14:paraId="0000001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{</w:t>
      </w:r>
      <w:r w:rsidDel="00000000" w:rsidR="00000000" w:rsidRPr="00000000">
        <w:rPr>
          <w:rtl w:val="1"/>
        </w:rPr>
        <w:t xml:space="preserve">קרבן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באכילתן</w:t>
      </w:r>
      <w:r w:rsidDel="00000000" w:rsidR="00000000" w:rsidRPr="00000000">
        <w:rPr>
          <w:rtl w:val="1"/>
        </w:rPr>
        <w:t xml:space="preserve">...  </w:t>
      </w:r>
      <w:r w:rsidDel="00000000" w:rsidR="00000000" w:rsidRPr="00000000">
        <w:rPr>
          <w:rtl w:val="1"/>
        </w:rPr>
        <w:t xml:space="preserve">וראיתי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׳ </w:t>
      </w:r>
      <w:r w:rsidDel="00000000" w:rsidR="00000000" w:rsidRPr="00000000">
        <w:rPr>
          <w:rtl w:val="1"/>
        </w:rPr>
        <w:t xml:space="preserve">שפירש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באכילתן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דסחורה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חשבה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העשין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</w:p>
    <w:p w:rsidR="00000000" w:rsidDel="00000000" w:rsidP="00000000" w:rsidRDefault="00000000" w:rsidRPr="00000000" w14:paraId="0000001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חיובית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לאכול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להאכיל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ולשתייה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ולסיכה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שהסיכה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כשתייה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בעצמותיו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והשתייה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ולשתות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ולסוך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וחומץ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הטהור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</w:p>
    <w:p w:rsidR="00000000" w:rsidDel="00000000" w:rsidP="00000000" w:rsidRDefault="00000000" w:rsidRPr="00000000" w14:paraId="0000002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וסיכה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ותכריכין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ולשתייה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ולסיכה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ולהדלקת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ולצביעה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ולצבוע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תודה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ושמיטה</w:t>
      </w:r>
      <w:r w:rsidDel="00000000" w:rsidR="00000000" w:rsidRPr="00000000">
        <w:rPr>
          <w:rtl w:val="1"/>
        </w:rPr>
        <w:t xml:space="preserve">!)</w:t>
      </w:r>
    </w:p>
    <w:p w:rsidR="00000000" w:rsidDel="00000000" w:rsidP="00000000" w:rsidRDefault="00000000" w:rsidRPr="00000000" w14:paraId="0000002A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השגות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העשין</w:t>
      </w:r>
    </w:p>
    <w:p w:rsidR="00000000" w:rsidDel="00000000" w:rsidP="00000000" w:rsidRDefault="00000000" w:rsidRPr="00000000" w14:paraId="0000002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</w:p>
    <w:p w:rsidR="00000000" w:rsidDel="00000000" w:rsidP="00000000" w:rsidRDefault="00000000" w:rsidRPr="00000000" w14:paraId="0000002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שנצטוינו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בירושלם</w:t>
      </w:r>
      <w:r w:rsidDel="00000000" w:rsidR="00000000" w:rsidRPr="00000000">
        <w:rPr>
          <w:rtl w:val="1"/>
        </w:rPr>
        <w:t xml:space="preserve">.....</w:t>
      </w:r>
    </w:p>
    <w:p w:rsidR="00000000" w:rsidDel="00000000" w:rsidP="00000000" w:rsidRDefault="00000000" w:rsidRPr="00000000" w14:paraId="0000002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שנצטוינו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טהורה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בטומאתה</w:t>
      </w:r>
      <w:r w:rsidDel="00000000" w:rsidR="00000000" w:rsidRPr="00000000">
        <w:rPr>
          <w:rtl w:val="1"/>
        </w:rPr>
        <w:t xml:space="preserve">....</w:t>
      </w:r>
    </w:p>
    <w:p w:rsidR="00000000" w:rsidDel="00000000" w:rsidP="00000000" w:rsidRDefault="00000000" w:rsidRPr="00000000" w14:paraId="0000003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לסחורה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לסחורה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בכורות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ונכפלה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משפטי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תעזוב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תעזוב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1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bidi w:val="1"/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שיעור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האכילה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ואיסור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ההפסד</w:t>
      </w:r>
    </w:p>
    <w:p w:rsidR="00000000" w:rsidDel="00000000" w:rsidP="00000000" w:rsidRDefault="00000000" w:rsidRPr="00000000" w14:paraId="0000003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אלגאזי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</w:p>
    <w:p w:rsidR="00000000" w:rsidDel="00000000" w:rsidP="00000000" w:rsidRDefault="00000000" w:rsidRPr="00000000" w14:paraId="0000003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לאכלה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לסחורה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לשריפה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להפסידם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בכזית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בכזית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דלאכלה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רחמנא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דדוקא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בכזית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מכזית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הזהיר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רחמנא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לאכלה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להפסד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וסחורה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פחות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מכזית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דלאכילה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... 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המופלא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הדור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ברכי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חיד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} (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)... </w:t>
      </w:r>
      <w:r w:rsidDel="00000000" w:rsidR="00000000" w:rsidRPr="00000000">
        <w:rPr>
          <w:rtl w:val="1"/>
        </w:rPr>
        <w:t xml:space="preserve">דהעיקר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מהתורה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</w:p>
    <w:p w:rsidR="00000000" w:rsidDel="00000000" w:rsidP="00000000" w:rsidRDefault="00000000" w:rsidRPr="00000000" w14:paraId="0000003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לאכלה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להפסד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ותרומה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שיעורים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איסור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והאיסור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להפסיד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אכילה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שיעורים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ושפיר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האיסור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פחות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מכזית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9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</w:p>
    <w:p w:rsidR="00000000" w:rsidDel="00000000" w:rsidP="00000000" w:rsidRDefault="00000000" w:rsidRPr="00000000" w14:paraId="0000003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נסתפקו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מכזית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b w:val="1"/>
          <w:rtl w:val="1"/>
        </w:rPr>
        <w:t xml:space="preserve">ולכאורה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תלוי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אכילה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דאם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דכתיב</w:t>
      </w:r>
      <w:r w:rsidDel="00000000" w:rsidR="00000000" w:rsidRPr="00000000">
        <w:rPr>
          <w:b w:val="1"/>
          <w:rtl w:val="1"/>
        </w:rPr>
        <w:t xml:space="preserve"> '</w:t>
      </w:r>
      <w:r w:rsidDel="00000000" w:rsidR="00000000" w:rsidRPr="00000000">
        <w:rPr>
          <w:b w:val="1"/>
          <w:rtl w:val="1"/>
        </w:rPr>
        <w:t xml:space="preserve">לאכלה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מצוה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שיעורה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בכזית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ומסתבר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איפוא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הדרשה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'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להפסד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שיעורה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בכזית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'</w:t>
      </w:r>
      <w:r w:rsidDel="00000000" w:rsidR="00000000" w:rsidRPr="00000000">
        <w:rPr>
          <w:b w:val="1"/>
          <w:rtl w:val="1"/>
        </w:rPr>
        <w:t xml:space="preserve">לאכלה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אכילת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כתב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מגדים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בפתיחתו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להלכות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שחיטה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דבאכילת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כלשהו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בכלל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C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bidi w:val="1"/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לאכלה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להפסד</w:t>
      </w:r>
    </w:p>
    <w:p w:rsidR="00000000" w:rsidDel="00000000" w:rsidP="00000000" w:rsidRDefault="00000000" w:rsidRPr="00000000" w14:paraId="00000041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4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ולסיכה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ולסוך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וחומץ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4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46">
      <w:pPr>
        <w:bidi w:val="1"/>
        <w:spacing w:after="240" w:before="240" w:lineRule="auto"/>
        <w:rPr/>
      </w:pP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מברייתן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כדרך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שאינו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משנה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בתרומה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ומעשר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שני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שדרכו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ליאכל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יאכלנו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מבושל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שדרכו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להאכל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מבושל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אוכלין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תבשיל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שעפשה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ומעשר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7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תרומות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49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סתוניות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הענבים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A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</w:p>
    <w:p w:rsidR="00000000" w:rsidDel="00000000" w:rsidP="00000000" w:rsidRDefault="00000000" w:rsidRPr="00000000" w14:paraId="0000004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ביסוד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מברייתו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וברכות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ההיקש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שדבר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מברייתם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השנוי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{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תרומות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והוקשה</w:t>
      </w:r>
      <w:r w:rsidDel="00000000" w:rsidR="00000000" w:rsidRPr="00000000">
        <w:rPr>
          <w:rtl w:val="1"/>
        </w:rPr>
        <w:t xml:space="preserve"> {=</w:t>
      </w:r>
      <w:r w:rsidDel="00000000" w:rsidR="00000000" w:rsidRPr="00000000">
        <w:rPr>
          <w:rtl w:val="1"/>
        </w:rPr>
        <w:t xml:space="preserve">הושוותה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השינויים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שינוי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נהוג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רוב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בתוספתא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קטניות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טחינין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בקטניות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כרשינין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הקטניות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וכרשינין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מזדמן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טחינין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מברייתן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למשקה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טיקוצ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ינסקי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</w:p>
    <w:p w:rsidR="00000000" w:rsidDel="00000000" w:rsidP="00000000" w:rsidRDefault="00000000" w:rsidRPr="00000000" w14:paraId="00000051">
      <w:pPr>
        <w:bidi w:val="1"/>
        <w:spacing w:after="240" w:before="240" w:lineRule="auto"/>
        <w:rPr/>
      </w:pPr>
      <w:r w:rsidDel="00000000" w:rsidR="00000000" w:rsidRPr="00000000">
        <w:rPr>
          <w:b w:val="1"/>
          <w:rtl w:val="1"/>
        </w:rPr>
        <w:t xml:space="preserve">לסחוט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תפוז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לימון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ואשכוליות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לעניות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להתיר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בהשקפה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ואשכוליות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לסחוט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וסעד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שבזמן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לסחטו</w:t>
      </w:r>
      <w:r w:rsidDel="00000000" w:rsidR="00000000" w:rsidRPr="00000000">
        <w:rPr>
          <w:rtl w:val="1"/>
        </w:rPr>
        <w:t xml:space="preserve">.     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נמלכתי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לדבש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מפורש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ששאר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הפירות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זיתים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וענבים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בלבד</w:t>
      </w:r>
      <w:r w:rsidDel="00000000" w:rsidR="00000000" w:rsidRPr="00000000">
        <w:rPr>
          <w:b w:val="1"/>
          <w:rtl w:val="1"/>
        </w:rPr>
        <w:t xml:space="preserve">...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שהשמן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הפרי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במשקין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היוצאין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פירא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זיעה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'...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במסמרות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2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חזון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</w:p>
    <w:p w:rsidR="00000000" w:rsidDel="00000000" w:rsidP="00000000" w:rsidRDefault="00000000" w:rsidRPr="00000000" w14:paraId="0000005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קמד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לסחיטה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ורמונים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בפסחים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)...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דיינינן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'</w:t>
      </w:r>
      <w:r w:rsidDel="00000000" w:rsidR="00000000" w:rsidRPr="00000000">
        <w:rPr>
          <w:rtl w:val="1"/>
        </w:rPr>
        <w:t xml:space="preserve">ובבל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דעלמא</w:t>
      </w:r>
      <w:r w:rsidDel="00000000" w:rsidR="00000000" w:rsidRPr="00000000">
        <w:rPr>
          <w:rtl w:val="1"/>
        </w:rPr>
        <w:t xml:space="preserve">?'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קמד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דמיץ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תפו</w:t>
      </w:r>
      <w:r w:rsidDel="00000000" w:rsidR="00000000" w:rsidRPr="00000000">
        <w:rPr>
          <w:b w:val="1"/>
          <w:rtl w:val="1"/>
        </w:rPr>
        <w:t xml:space="preserve">״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עומד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לסחיטה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בזמננו</w:t>
      </w:r>
      <w:r w:rsidDel="00000000" w:rsidR="00000000" w:rsidRPr="00000000">
        <w:rPr>
          <w:b w:val="1"/>
          <w:rtl w:val="1"/>
        </w:rPr>
        <w:t xml:space="preserve"> [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תשמישו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מיעוט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חילוק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מיעוט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מועט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למיעוט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מרובה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ואפשר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דמיעוט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המצוי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סגי</w:t>
      </w:r>
      <w:r w:rsidDel="00000000" w:rsidR="00000000" w:rsidRPr="00000000">
        <w:rPr>
          <w:b w:val="1"/>
          <w:rtl w:val="1"/>
        </w:rPr>
        <w:t xml:space="preserve">... </w:t>
      </w:r>
      <w:r w:rsidDel="00000000" w:rsidR="00000000" w:rsidRPr="00000000">
        <w:rPr>
          <w:b w:val="1"/>
          <w:rtl w:val="1"/>
        </w:rPr>
        <w:t xml:space="preserve">ואפשר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שרוב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ניחא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במשקין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בפירי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מקרי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עומד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לסחיטה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לסחטן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...  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והרא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סוחטין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לסחטן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מברייתו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בצביעה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הפירי</w:t>
      </w:r>
      <w:r w:rsidDel="00000000" w:rsidR="00000000" w:rsidRPr="00000000">
        <w:rPr>
          <w:rtl w:val="1"/>
        </w:rPr>
        <w:t xml:space="preserve">....   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בנשמר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המשקה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ממסמס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הפסד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ובתפו</w:t>
      </w:r>
      <w:r w:rsidDel="00000000" w:rsidR="00000000" w:rsidRPr="00000000">
        <w:rPr>
          <w:rtl w:val="1"/>
        </w:rPr>
        <w:t xml:space="preserve">״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מברייתו</w:t>
      </w:r>
      <w:r w:rsidDel="00000000" w:rsidR="00000000" w:rsidRPr="00000000">
        <w:rPr>
          <w:rtl w:val="1"/>
        </w:rPr>
        <w:t xml:space="preserve">...   </w:t>
      </w:r>
      <w:r w:rsidDel="00000000" w:rsidR="00000000" w:rsidRPr="00000000">
        <w:rPr>
          <w:rtl w:val="1"/>
        </w:rPr>
        <w:t xml:space="preserve">ולימון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באתרא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5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7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ageBreakBefore w:val="0"/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