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אוצר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דין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ועוטנין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וליודעיו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שיכלו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שמזונותיה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ולבהמתך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לבהמתך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והכילוי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לאבדם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ולהפקירם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ולהפקירם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ועשו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מדבריהם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קציר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ונותנים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המכונסים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ביעור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מבוערין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ולאכלן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והטורח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לעכבם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סחורה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הביעור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ומפקירם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שאוסרת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סירילאו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מכניסין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} ... </w:t>
      </w:r>
      <w:r w:rsidDel="00000000" w:rsidR="00000000" w:rsidRPr="00000000">
        <w:rPr>
          <w:rtl w:val="1"/>
        </w:rPr>
        <w:t xml:space="preserve">ובהני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מפירות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שישית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במשנתנו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בקוטבי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סירילאו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וגזלו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ואנו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הראשונים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דאיירי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וכשהן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לדרכן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ופטורין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הביעור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:... </w:t>
      </w:r>
      <w:r w:rsidDel="00000000" w:rsidR="00000000" w:rsidRPr="00000000">
        <w:rPr>
          <w:b w:val="1"/>
          <w:rtl w:val="1"/>
        </w:rPr>
        <w:t xml:space="preserve">מהו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הביעור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בשיכלו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ותחומיה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מוציאין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שבבתיהם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ומביאין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מוציאן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ומפקירן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ויובל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והשמיט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יוצאין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הלכה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ומחלקים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שמור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האם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יכולים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לשמור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הפירות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רנח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שאלתכם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יעמידו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ופרדסים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יחלקוהו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שנהגו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ואדוני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עיירות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ששלוחי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ללקוט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לשמור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עניים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לפקפק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במקור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}...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בימינו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וראוי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להקל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שדלעת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פרדסו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להפקיר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לגמרי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ליטול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ויטול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הפרדס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הקונים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שרשאים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קכג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פרדס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כורחו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כורחם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הכפר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ומחמת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אפקעתא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ולזבל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פרופסור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ליברמן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כפשוטה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583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כשהתקינו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יבזזו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"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חמוניה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סנטיריה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ראוהו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ושורון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שנתכבדתי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לתוכה</w:t>
      </w:r>
      <w:r w:rsidDel="00000000" w:rsidR="00000000" w:rsidRPr="00000000">
        <w:rPr>
          <w:rtl w:val="1"/>
        </w:rPr>
        <w:t xml:space="preserve">}?...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ואלמלי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נמצאנו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קצירה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האם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אוצר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קצירה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הקוצרים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שדרך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אסור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תקצור</w:t>
      </w:r>
      <w:r w:rsidDel="00000000" w:rsidR="00000000" w:rsidRPr="00000000">
        <w:rPr>
          <w:b w:val="1"/>
          <w:u w:val="single"/>
          <w:rtl w:val="1"/>
        </w:rPr>
        <w:t xml:space="preserve">")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דבזמן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דורכין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וזיתים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שזכו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ההפקר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הקוצרים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אויערבך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מעדני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שיטתו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} </w:t>
      </w:r>
      <w:r w:rsidDel="00000000" w:rsidR="00000000" w:rsidRPr="00000000">
        <w:rPr>
          <w:b w:val="1"/>
          <w:rtl w:val="1"/>
        </w:rPr>
        <w:t xml:space="preserve">דבשדות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אסיפה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דוחק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דדחקו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במנחות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והוצרכו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ותיפוק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בשלוחי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להתיר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מפני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שקצירתם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לצורך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עניי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העיר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שפיר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תקצור</w:t>
      </w:r>
      <w:r w:rsidDel="00000000" w:rsidR="00000000" w:rsidRPr="00000000">
        <w:rPr>
          <w:b w:val="1"/>
          <w:rtl w:val="1"/>
        </w:rPr>
        <w:t xml:space="preserve">...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סירילאו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ובוצרין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לבצור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ולדרוך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?...  </w:t>
      </w:r>
      <w:r w:rsidDel="00000000" w:rsidR="00000000" w:rsidRPr="00000000">
        <w:rPr>
          <w:b w:val="1"/>
          <w:u w:val="single"/>
          <w:rtl w:val="1"/>
        </w:rPr>
        <w:t xml:space="preserve">וליכא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למימר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למעבד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החול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כהנים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: '</w:t>
      </w:r>
      <w:r w:rsidDel="00000000" w:rsidR="00000000" w:rsidRPr="00000000">
        <w:rPr>
          <w:rtl w:val="1"/>
        </w:rPr>
        <w:t xml:space="preserve">נזירך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למדרש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טוקצ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ינסקי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ושלוחיהם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דאחרי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עיקר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להראות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הפקר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מנהג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הפקר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גדול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מזה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עיבודם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שהיחיד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אסורות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עצמן</w:t>
      </w:r>
      <w:r w:rsidDel="00000000" w:rsidR="00000000" w:rsidRPr="00000000">
        <w:rPr>
          <w:b w:val="1"/>
          <w:rtl w:val="1"/>
        </w:rPr>
        <w:t xml:space="preserve">...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בביצועם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הרגיל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הסותרת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הבלטת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rtl w:val="0"/>
        </w:rPr>
        <w:t xml:space="preserve">... </w:t>
      </w:r>
      <w:r w:rsidDel="00000000" w:rsidR="00000000" w:rsidRPr="00000000">
        <w:rPr>
          <w:b w:val="1"/>
          <w:rtl w:val="1"/>
        </w:rPr>
        <w:t xml:space="preserve">דאשר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המלאכה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הציבור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כולו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הבלטה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הפקר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מוקדמות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הבשלתו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42 </w:t>
      </w:r>
      <w:r w:rsidDel="00000000" w:rsidR="00000000" w:rsidRPr="00000000">
        <w:rPr>
          <w:rtl w:val="1"/>
        </w:rPr>
        <w:t xml:space="preserve">הערה</w:t>
      </w:r>
      <w:r w:rsidDel="00000000" w:rsidR="00000000" w:rsidRPr="00000000">
        <w:rPr>
          <w:rtl w:val="1"/>
        </w:rPr>
        <w:t xml:space="preserve"> 24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ובצירה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רסח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ערה</w:t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קלקולים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שולחים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ֶ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ִ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קימעא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קימעא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ובכרמו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רמיזא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מהראשונים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והפוסקים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נדרוש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?],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וכרמך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כששכירי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בוצרים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פקודתה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הבעלים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סבורני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ברמז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...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ופירסמו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בהלכותיו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לדורות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כהלכתא</w:t>
      </w:r>
      <w:r w:rsidDel="00000000" w:rsidR="00000000" w:rsidRPr="00000000">
        <w:rPr>
          <w:rtl w:val="1"/>
        </w:rPr>
        <w:t xml:space="preserve">...  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ותמה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?...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וברכה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הבלעה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b w:val="1"/>
          <w:rtl w:val="1"/>
        </w:rPr>
        <w:t xml:space="preserve">ויימסר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כוחם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מרשים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להבעלים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לעשות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ברשותם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למכירת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היתר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ומכשיריהם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המכירה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והטורח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לאיזה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דברים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מותר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אוצר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דין</w:t>
      </w:r>
      <w:r w:rsidDel="00000000" w:rsidR="00000000" w:rsidRPr="00000000">
        <w:rPr>
          <w:b w:val="1"/>
          <w:u w:val="single"/>
          <w:rtl w:val="1"/>
        </w:rPr>
        <w:t xml:space="preserve">? </w:t>
      </w:r>
      <w:r w:rsidDel="00000000" w:rsidR="00000000" w:rsidRPr="00000000">
        <w:rPr>
          <w:b w:val="1"/>
          <w:u w:val="single"/>
          <w:rtl w:val="1"/>
        </w:rPr>
        <w:t xml:space="preserve">לאיסוף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וקצירה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לחוד</w:t>
      </w:r>
      <w:r w:rsidDel="00000000" w:rsidR="00000000" w:rsidRPr="00000000">
        <w:rPr>
          <w:b w:val="1"/>
          <w:u w:val="single"/>
          <w:rtl w:val="1"/>
        </w:rPr>
        <w:t xml:space="preserve">? </w:t>
      </w:r>
      <w:r w:rsidDel="00000000" w:rsidR="00000000" w:rsidRPr="00000000">
        <w:rPr>
          <w:b w:val="1"/>
          <w:u w:val="single"/>
          <w:rtl w:val="1"/>
        </w:rPr>
        <w:t xml:space="preserve">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אפילו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לקיום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ושמירת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וטיפול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העצים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תלמידו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 - </w:t>
      </w:r>
      <w:r w:rsidDel="00000000" w:rsidR="00000000" w:rsidRPr="00000000">
        <w:rPr>
          <w:rtl w:val="1"/>
        </w:rPr>
        <w:t xml:space="preserve">מכתבי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שיגדלו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לאוקמי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לאברויי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לזקוף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טירחא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שטרנבוך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סז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הלקיטה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מרסס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שמפסיד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6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שיפסידו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מכספם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כהלכה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שמסכימים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שפרנסתו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והשתוממתי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סומכין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ובקדמונים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6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הטירחא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כתמורה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שבכחם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והשביעית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תשמטנה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ונטשתה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לעזוב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בשעתו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הנהוג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למומחה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6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צח</w:t>
      </w:r>
    </w:p>
    <w:p w:rsidR="00000000" w:rsidDel="00000000" w:rsidP="00000000" w:rsidRDefault="00000000" w:rsidRPr="00000000" w14:paraId="0000006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'...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שיזונו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מסביבן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מכיסם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המנצחים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שפירט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שלפנינו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ומסופר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והטירחה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והטירחה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6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הנהנים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הכרוכות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מהמזיקים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הנצרכות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התמנותם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שיקבלו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מדוקדק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זלמן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אויערבך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תניינא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קכג</w:t>
      </w:r>
    </w:p>
    <w:p w:rsidR="00000000" w:rsidDel="00000000" w:rsidP="00000000" w:rsidRDefault="00000000" w:rsidRPr="00000000" w14:paraId="0000006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מהעץ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ולקטוף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הזוכה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6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מס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יפסידו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וזיבול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ממלכתית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162- 163</w:t>
      </w:r>
    </w:p>
    <w:p w:rsidR="00000000" w:rsidDel="00000000" w:rsidP="00000000" w:rsidRDefault="00000000" w:rsidRPr="00000000" w14:paraId="0000007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והדישון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הסכמתכם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אריאל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גליון</w:t>
      </w:r>
      <w:r w:rsidDel="00000000" w:rsidR="00000000" w:rsidRPr="00000000">
        <w:rPr>
          <w:rtl w:val="1"/>
        </w:rPr>
        <w:t xml:space="preserve"> 45</w:t>
      </w:r>
    </w:p>
    <w:p w:rsidR="00000000" w:rsidDel="00000000" w:rsidP="00000000" w:rsidRDefault="00000000" w:rsidRPr="00000000" w14:paraId="0000007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5 -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- 7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שמחירו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למחצית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מגדלי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(!) </w:t>
      </w:r>
      <w:r w:rsidDel="00000000" w:rsidR="00000000" w:rsidRPr="00000000">
        <w:rPr>
          <w:rtl w:val="1"/>
        </w:rPr>
        <w:t xml:space="preserve">בעסקה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יופייה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והגורמות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הביקוש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הצדק</w:t>
      </w:r>
      <w:r w:rsidDel="00000000" w:rsidR="00000000" w:rsidRPr="00000000">
        <w:rPr>
          <w:rtl w:val="1"/>
        </w:rPr>
        <w:t xml:space="preserve">! 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שלצערנו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נאלץ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להפסד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7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המעיין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16: </w:t>
      </w:r>
      <w:r w:rsidDel="00000000" w:rsidR="00000000" w:rsidRPr="00000000">
        <w:rPr>
          <w:rtl w:val="1"/>
        </w:rPr>
        <w:t xml:space="preserve">הסבר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אלישיב</w:t>
      </w:r>
    </w:p>
    <w:p w:rsidR="00000000" w:rsidDel="00000000" w:rsidP="00000000" w:rsidRDefault="00000000" w:rsidRPr="00000000" w14:paraId="0000007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בנוגע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מינימלית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שמדובר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לגדלן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ולחלקן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המשווקות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המקפידים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השמיטה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B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ageBreakBefore w:val="0"/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