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Who owns the fruits?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רטושים</w:t>
      </w:r>
      <w:r w:rsidDel="00000000" w:rsidR="00000000" w:rsidRPr="00000000">
        <w:rPr>
          <w:rtl w:val="1"/>
        </w:rPr>
        <w:t xml:space="preserve">? {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נטושים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והשביעת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אפקעתא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רטושים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דמדעתן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'+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רטשה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נטושים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אפקעתא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אפקריה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לארעיה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ומירחן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אפקירה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אפקריה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הלעיטהו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הלעיטהו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הלעיטהו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ויאכלו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מבעיא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להפקיר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אמירתו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שמפקיר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להשמיט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להפקיר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שמפקירם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אפקריה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להפקיר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להשמיט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שיחטאו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Breaking and Entering: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המודר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דהפקירא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בעמידה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וקמיתהני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דאפקריה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אפקריה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דבגויה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מסכתא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Asking permission: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מברטנורא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אפקרינהו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ובפרדסו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דכתי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Produce Planted when Prohibited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המטביל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הנוטע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שוגג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יעקור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דמחמת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יעקור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בנטייבה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מעדני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אוירבך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ונעבד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דבדיעבד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. 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