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2">
      <w:pPr>
        <w:bidi w:val="1"/>
        <w:spacing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5">
      <w:pPr>
        <w:bidi w:val="1"/>
        <w:spacing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במקשאות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ובמדלעות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עצרת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08">
      <w:pPr>
        <w:bidi w:val="1"/>
        <w:spacing w:before="240" w:lineRule="auto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40" w:lineRule="auto"/>
        <w:rPr/>
      </w:pPr>
      <w:r w:rsidDel="00000000" w:rsidR="00000000" w:rsidRPr="00000000">
        <w:rPr>
          <w:rtl w:val="0"/>
        </w:rPr>
        <w:t xml:space="preserve">(this gm can be done quickly, and the first half of the gm can be skimmed, focus on the limmudim/justifications for tosefet shviit as they come up.)</w:t>
      </w:r>
    </w:p>
    <w:p w:rsidR="00000000" w:rsidDel="00000000" w:rsidP="00000000" w:rsidRDefault="00000000" w:rsidRPr="00000000" w14:paraId="0000000C">
      <w:pPr>
        <w:bidi w:val="1"/>
        <w:spacing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ונסיב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ונסיב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שהוסיפו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ונסיב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משתכלה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ומדלעות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העצרת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ובטלום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ובמנין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אשתומם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ויבטל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דידהו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נחוניא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חורתן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וניסוך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ומעצרת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ויבטל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: [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]+: </w:t>
      </w:r>
      <w:r w:rsidDel="00000000" w:rsidR="00000000" w:rsidRPr="00000000">
        <w:rPr>
          <w:rtl w:val="1"/>
        </w:rPr>
        <w:t xml:space="preserve">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חריש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ערב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שביעית</w:t>
      </w:r>
      <w:r w:rsidDel="00000000" w:rsidR="00000000" w:rsidRPr="00000000">
        <w:rPr>
          <w:b w:val="1"/>
          <w:u w:val="single"/>
          <w:rtl w:val="1"/>
        </w:rPr>
        <w:t xml:space="preserve"> { </w:t>
      </w:r>
      <w:r w:rsidDel="00000000" w:rsidR="00000000" w:rsidRPr="00000000">
        <w:rPr>
          <w:b w:val="1"/>
          <w:u w:val="single"/>
          <w:rtl w:val="1"/>
        </w:rPr>
        <w:t xml:space="preserve">דף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עמוד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} </w:t>
      </w:r>
      <w:r w:rsidDel="00000000" w:rsidR="00000000" w:rsidRPr="00000000">
        <w:rPr>
          <w:b w:val="1"/>
          <w:u w:val="single"/>
          <w:rtl w:val="1"/>
        </w:rPr>
        <w:t xml:space="preserve">שנכנס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לשביעית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למישרי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למיסר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זקינה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אסירה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הלכתא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ישמעאל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קראי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עקיבא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ורבי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רבן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גמליאל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מדאורייתא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גמר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בראשית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לפניה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ולאחריה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מותרין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לפניה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ולאחריה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מותרין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הלכתא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בזמן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דומיא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דניסוך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קיים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R Akiva- Really about Shmittah itself being impacted by the melakhot done before. (like Shvitat keilim for Beit Shammai)</w:t>
      </w:r>
    </w:p>
    <w:p w:rsidR="00000000" w:rsidDel="00000000" w:rsidP="00000000" w:rsidRDefault="00000000" w:rsidRPr="00000000" w14:paraId="0000000F">
      <w:pPr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The Totzaah of causing production on Shmittah is assur</w:t>
      </w:r>
    </w:p>
    <w:p w:rsidR="00000000" w:rsidDel="00000000" w:rsidP="00000000" w:rsidRDefault="00000000" w:rsidRPr="00000000" w14:paraId="00000010">
      <w:pPr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N”M- only melakhot that have an impact on Shmittah itself would be assur.</w:t>
      </w:r>
    </w:p>
    <w:p w:rsidR="00000000" w:rsidDel="00000000" w:rsidP="00000000" w:rsidRDefault="00000000" w:rsidRPr="00000000" w14:paraId="00000011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R Yishmael- ?</w:t>
      </w:r>
    </w:p>
    <w:p w:rsidR="00000000" w:rsidDel="00000000" w:rsidP="00000000" w:rsidRDefault="00000000" w:rsidRPr="00000000" w14:paraId="00000012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R Gamliel- just like Shabbos, only the a melakha with a maaseh melakha is assur. No pre shabbat issur on causing the totzaah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לשביעית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ודמוסיפין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מנלן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דתניא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בחריש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ובקציר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עקיבא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חריש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וקציר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תזרע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וגו</w:t>
      </w:r>
      <w:r w:rsidDel="00000000" w:rsidR="00000000" w:rsidRPr="00000000">
        <w:rPr>
          <w:b w:val="1"/>
          <w:rtl w:val="1"/>
        </w:rPr>
        <w:t xml:space="preserve">'.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חריש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לשביעית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וקציר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למוצאי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ישמעאל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מוסיפין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? - </w:t>
      </w:r>
      <w:r w:rsidDel="00000000" w:rsidR="00000000" w:rsidRPr="00000000">
        <w:rPr>
          <w:b w:val="1"/>
          <w:rtl w:val="1"/>
        </w:rPr>
        <w:t xml:space="preserve">נפקא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מדתניא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ועניתם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נפשתיכם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בתשעה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בתשעה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משתחשך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בכניסתו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ביציאתו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שבות</w:t>
      </w:r>
      <w:r w:rsidDel="00000000" w:rsidR="00000000" w:rsidRPr="00000000">
        <w:rPr>
          <w:b w:val="1"/>
          <w:u w:val="single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מוסיפין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מחול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קדש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נפשתיכם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מבעי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מדפתי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מדפתי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ועניתם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נפשותיכם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מתענין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בתשיעי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ועשירי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To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what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Extent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does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תוספת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שביעית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have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the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same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דינים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as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שביעית</w:t>
      </w:r>
      <w:r w:rsidDel="00000000" w:rsidR="00000000" w:rsidRPr="00000000">
        <w:rPr>
          <w:u w:val="single"/>
          <w:rtl w:val="0"/>
        </w:rPr>
        <w:t xml:space="preserve">?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והרכיב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יעקור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קולטת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ושלשים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לתוספת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ושלשים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ומוקמי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ושומשמין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ומפרש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לקליטה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ושלשים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לפרושי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מתני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מערלה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לענין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שביעית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חיישינן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תקלוט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בשביעית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עצמה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ושומשמין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שזריעתן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באנדרוגינוס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ובהרכבה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According to R”T tosefet shviit isn’t an expansion of shviit, because having things root on shviit is assur but fine on tosefet shviit?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Tosefet shviit must be something different, but what?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נ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מ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1"/>
        </w:rPr>
        <w:t xml:space="preserve">מלקות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מלקות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בתוספת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גרידא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בחריש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ובקציר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תוספת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לששית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כשביעית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ילקה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נ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מ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1"/>
        </w:rPr>
        <w:t xml:space="preserve">איזה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מלאכות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אסורות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בתוספת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שביעית</w:t>
      </w:r>
    </w:p>
    <w:p w:rsidR="00000000" w:rsidDel="00000000" w:rsidP="00000000" w:rsidRDefault="00000000" w:rsidRPr="00000000" w14:paraId="0000003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- ...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תוספת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דאורייתא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בנטיעה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שנזרעו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נאסרו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דוקא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בחריש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לצורך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שביעית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נ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- </w:t>
      </w:r>
      <w:r w:rsidDel="00000000" w:rsidR="00000000" w:rsidRPr="00000000">
        <w:rPr>
          <w:u w:val="single"/>
          <w:rtl w:val="1"/>
        </w:rPr>
        <w:t xml:space="preserve">זמן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התוספת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אומרים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משתכלה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ומדלעות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העצרת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ובטלום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הלכתא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שלשים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ומעצרת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בחריש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שקצירו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חריש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לשביעית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...... </w:t>
      </w:r>
      <w:r w:rsidDel="00000000" w:rsidR="00000000" w:rsidRPr="00000000">
        <w:rPr>
          <w:b w:val="1"/>
          <w:rtl w:val="1"/>
        </w:rPr>
        <w:t xml:space="preserve">ולמה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שישית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העצרת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Appendix: 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Why only bizman hamikdash?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נשאלו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המדרש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ומחיצין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וסדרן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ותפסו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מקראי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בנטיעות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ומפוזרות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שיונקות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כהלכתן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/)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ממטע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</w:p>
    <w:p w:rsidR="00000000" w:rsidDel="00000000" w:rsidP="00000000" w:rsidRDefault="00000000" w:rsidRPr="00000000" w14:paraId="0000004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 </w:t>
      </w:r>
    </w:p>
    <w:p w:rsidR="00000000" w:rsidDel="00000000" w:rsidP="00000000" w:rsidRDefault="00000000" w:rsidRPr="00000000" w14:paraId="0000004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הארצות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עיירות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שמשלחים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ומסבבין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לתנופה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הקטרה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5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5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</w:p>
    <w:p w:rsidR="00000000" w:rsidDel="00000000" w:rsidP="00000000" w:rsidRDefault="00000000" w:rsidRPr="00000000" w14:paraId="0000005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כתרומה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.+</w:t>
      </w:r>
    </w:p>
    <w:p w:rsidR="00000000" w:rsidDel="00000000" w:rsidP="00000000" w:rsidRDefault="00000000" w:rsidRPr="00000000" w14:paraId="0000005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6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מופקעת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משא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דביאת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כולכם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הקרקע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מופקעת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בזמן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הזה</w:t>
      </w:r>
      <w:r w:rsidDel="00000000" w:rsidR="00000000" w:rsidRPr="00000000">
        <w:rPr>
          <w:u w:val="single"/>
          <w:rtl w:val="1"/>
        </w:rPr>
        <w:t xml:space="preserve">- </w:t>
      </w:r>
      <w:r w:rsidDel="00000000" w:rsidR="00000000" w:rsidRPr="00000000">
        <w:rPr>
          <w:u w:val="single"/>
          <w:rtl w:val="1"/>
        </w:rPr>
        <w:t xml:space="preserve">מראית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ערלה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6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6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יעקר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יעקר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יעקר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יעקר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ולטעמיך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יעקר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יעקר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לשביעית</w:t>
      </w:r>
      <w:r w:rsidDel="00000000" w:rsidR="00000000" w:rsidRPr="00000000">
        <w:rPr>
          <w:rtl w:val="1"/>
        </w:rPr>
        <w:t xml:space="preserve">, { </w:t>
      </w:r>
      <w:r w:rsidDel="00000000" w:rsidR="00000000" w:rsidRPr="00000000">
        <w:rPr>
          <w:rtl w:val="1"/>
        </w:rPr>
        <w:t xml:space="preserve">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}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נחשדו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דמיקלע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נחשדו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6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</w:p>
    <w:p w:rsidR="00000000" w:rsidDel="00000000" w:rsidP="00000000" w:rsidRDefault="00000000" w:rsidRPr="00000000" w14:paraId="0000006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המקשאות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והמדלעות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ומזבלין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ומאבקין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ומקרסמין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ומזרדין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ומפסלין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וקוטמין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הפגין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ומנקבין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</w:p>
    <w:p w:rsidR="00000000" w:rsidDel="00000000" w:rsidP="00000000" w:rsidRDefault="00000000" w:rsidRPr="00000000" w14:paraId="0000006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.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ageBreakBefore w:val="0"/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