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  <w:t xml:space="preserve">Hotzaah is a unique melakha. 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  <w:t xml:space="preserve">As we disscussed in shiur 5, the tzurat haMelakha is very different from that of other melakhot. The presence of two/three components: Akirah, Hanacha, and potentially a distinct compoenent of the movement as well. The centrality of the context- which reshuyot are involved. (The Tosfot emphasize the peculiarity of the ptur on reshut haYachid to reshut haYachid, while the Ramban emphasizes the need for reshuyot at all)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left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jc w:val="left"/>
        <w:rPr/>
      </w:pPr>
      <w:r w:rsidDel="00000000" w:rsidR="00000000" w:rsidRPr="00000000">
        <w:rPr>
          <w:rtl w:val="1"/>
        </w:rPr>
        <w:t xml:space="preserve">והמוציא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להאריך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question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remains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unique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unique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priori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conceptual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level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but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discovered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ultimately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actual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differences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between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mistakenly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issue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application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\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actually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ציבור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basis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brings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קרבן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everyone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However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entire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\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each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individual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liable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0"/>
        </w:rPr>
        <w:t xml:space="preserve">.)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הורו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ונעלם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ונעלם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המשתחוה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ונעלם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שהצדוקין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...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מבתיכם</w:t>
      </w:r>
      <w:r w:rsidDel="00000000" w:rsidR="00000000" w:rsidRPr="00000000">
        <w:rPr>
          <w:rtl w:val="1"/>
        </w:rPr>
        <w:t xml:space="preserve">! [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והכנסה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דאסירא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מושיט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':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כעקירת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? ...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כדשנין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להשתחוות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טעו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והורו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ואמרו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המוציא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שנאמר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יצא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ממקומו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הזורק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המושיט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שעקרו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מאבות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והורו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חייבין</w:t>
      </w:r>
      <w:r w:rsidDel="00000000" w:rsidR="00000000" w:rsidRPr="00000000">
        <w:rPr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המשתחוה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תשתחוה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שגגתן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מימרא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דיחויי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The Gm also gives explicit psukim that teach us that the melakha of hotzaah is assur, unlike any of the other melakhot. 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3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כתיבא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ויעבירו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'. -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ויעבירו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עיולי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הכנסה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ומכדי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6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דידכו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מאהליכם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דשלימא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עבידתיה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כדתנן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ולר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ומנלן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דדייקינן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מבתיהון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בחול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איקראי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וקי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אסור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בשבת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איברירה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והכנסה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שנמנעו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ללשכה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במחנה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במלחמה</w:t>
      </w:r>
      <w:r w:rsidDel="00000000" w:rsidR="00000000" w:rsidRPr="00000000">
        <w:rPr>
          <w:rtl w:val="1"/>
        </w:rPr>
        <w:t xml:space="preserve">}: </w:t>
      </w:r>
      <w:r w:rsidDel="00000000" w:rsidR="00000000" w:rsidRPr="00000000">
        <w:rPr>
          <w:rtl w:val="1"/>
        </w:rPr>
        <w:t xml:space="preserve">מביאין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ומדמאי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ומלערב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ומלערב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הידענים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לאזהרת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לאזהרת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יוציא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שהוציאוהו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שבאל</w:t>
      </w:r>
      <w:r w:rsidDel="00000000" w:rsidR="00000000" w:rsidRPr="00000000">
        <w:rPr>
          <w:rtl w:val="1"/>
        </w:rPr>
        <w:t xml:space="preserve">) -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לאזהרת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וממיתין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לאזהרת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מיקטיל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דלאזהרת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למלקות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לאזהרת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לאזהרת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שהוציאוהו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מאל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דעירובי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שהוציאוהו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צולין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דהוריות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מויכלא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ובמרובה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שהוכחשו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הוזמו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נהרגים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לאזהרת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מבתיכם</w:t>
      </w:r>
      <w:r w:rsidDel="00000000" w:rsidR="00000000" w:rsidRPr="00000000">
        <w:rPr>
          <w:rtl w:val="1"/>
        </w:rPr>
        <w:t xml:space="preserve">! [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והכנסה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דאסירא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מושיט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ירמיהו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מבתיכם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וקדשתם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אבותיכם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2921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