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אופה</w:t>
      </w:r>
      <w:r w:rsidDel="00000000" w:rsidR="00000000" w:rsidRPr="00000000">
        <w:rPr>
          <w:u w:val="single"/>
          <w:rtl w:val="1"/>
        </w:rPr>
        <w:t xml:space="preserve">\</w:t>
      </w:r>
      <w:r w:rsidDel="00000000" w:rsidR="00000000" w:rsidRPr="00000000">
        <w:rPr>
          <w:u w:val="single"/>
          <w:rtl w:val="1"/>
        </w:rPr>
        <w:t xml:space="preserve">מבשל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מקומו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והזורה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והאופה</w:t>
      </w:r>
      <w:r w:rsidDel="00000000" w:rsidR="00000000" w:rsidRPr="00000000">
        <w:rPr>
          <w:rtl w:val="1"/>
        </w:rPr>
        <w:t xml:space="preserve">….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והלש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סידורא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עוירא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לשרורי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דמירפא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ואיקושא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סדורא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שהשליך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שיתקשה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לשרורי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דמרפי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דארתח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זפת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דהדר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אקושי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022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דקתני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במתניתין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מלאכות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סמנין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לבישול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בחמה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המיחם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קומקמוס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שתתגלגל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שתצלה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מגלגלת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שהוחמו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שהוחמו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האיספנין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מלאכתן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שיצננו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גזרינן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גזרינן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מדיחין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האיספנין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טונינ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הטונה</w:t>
      </w:r>
      <w:r w:rsidDel="00000000" w:rsidR="00000000" w:rsidRPr="00000000">
        <w:rPr>
          <w:rtl w:val="1"/>
        </w:rPr>
        <w:t xml:space="preserve">+.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שהדחתו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מיחלפא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דאסיר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אגלי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בהנעשה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בתוצאה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בהעושה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)...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בימין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וכשבישל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בהתבשיל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בהתבשיל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שבהיותי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ורותחים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בפשיטות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מאש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חטאת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חשמל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תהליך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עיבור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שחייבין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חימם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שמתנגד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נהפך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ושורף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בסוף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.+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למיטעי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לאיחלופי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וכדחזינן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טבריה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אפיתחא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דגיהנם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דכוונת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רש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קרוי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שהמנ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מסתפק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בנתבשל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מהפמ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ותולדותי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במיקרוגל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0"/>
        </w:rPr>
        <w:t xml:space="preserve">Microwave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Ovens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דאורייתא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דרבנן</w:t>
      </w:r>
      <w:r w:rsidDel="00000000" w:rsidR="00000000" w:rsidRPr="00000000">
        <w:rPr>
          <w:b w:val="1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בהמייקר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וייו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אווען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מיקרוגל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נתפשטו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וחטאת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what about according to Rav Shlomo Zalman Aurbach and the Eglei Tal?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רמת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הבישול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דרוסאי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שליש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מבושל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פרחיה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מיוחס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קצת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כמאכל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דרוסאי</w:t>
      </w:r>
      <w:r w:rsidDel="00000000" w:rsidR="00000000" w:rsidRPr="00000000">
        <w:rPr>
          <w:rtl w:val="0"/>
        </w:rPr>
        <w:t xml:space="preserve">.+ 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ולחומרא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דכשהגיע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למאכל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דרוסאי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מתניתין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u w:val="single"/>
          <w:rtl w:val="1"/>
        </w:rPr>
        <w:t xml:space="preserve">נתבשל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איסורא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המפקיע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מבושל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צרכו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לאכילה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המפקיע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מבושל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צרכו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חשכה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דתפוחי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לצולן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דנאכלים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פליישו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מתמקמק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אפייה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רעד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צלאו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וכשבשלו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אפייתו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נקרא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מבושל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אפייה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צלאו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החולץ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וחטאת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ראבי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ושמעתי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מרבינו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אליעזר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ברותח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נמוח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במבושל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ולאו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מילתא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</w:t>
      </w:r>
      <w:r w:rsidDel="00000000" w:rsidR="00000000" w:rsidRPr="00000000">
        <w:rPr>
          <w:rtl w:val="1"/>
        </w:rPr>
        <w:t xml:space="preserve"> ….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דבמצטמק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דנהנה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ממלאכת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בטעם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במצטמק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….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אזלינן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התבשיל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דנשתנה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דנתכוין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מצטמק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בישול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אפיה</w:t>
      </w:r>
      <w:r w:rsidDel="00000000" w:rsidR="00000000" w:rsidRPr="00000000">
        <w:rPr>
          <w:b w:val="1"/>
          <w:rtl w:val="1"/>
        </w:rPr>
        <w:t xml:space="preserve">….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בישול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וקולייס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האיספנין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שהדחתן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וירתיחנה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ונצטנן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והרתיחו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הפשירו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b w:val="1"/>
          <w:rtl w:val="1"/>
        </w:rPr>
        <w:t xml:space="preserve">והרב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וכשמערין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רתיחתן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ומתבשלין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רתיחתן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ובדיקה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נצטנן</w:t>
      </w:r>
      <w:r w:rsidDel="00000000" w:rsidR="00000000" w:rsidRPr="00000000">
        <w:rPr>
          <w:rtl w:val="1"/>
        </w:rPr>
        <w:t xml:space="preserve">. …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נצטנן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רותח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u w:val="single"/>
          <w:rtl w:val="1"/>
        </w:rPr>
        <w:t xml:space="preserve">ונהגו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להקל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נצטנן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200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