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וכרשינין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שרייתן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שיגבל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ליחייב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שיגבל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ודילמא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והתניא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שרייתן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אפר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דעפר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תנינהו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אושעיא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דורסין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מלעיטין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מלעיטין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ומהלקטין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לתרנגולין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ונותנין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למורסן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גובלין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שבשובך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אווזין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ותרנגולין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הרדיסיות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מהלקטין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לתרנגולין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אמריתה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יוסי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דתניא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הקמח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לתוכו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האחרון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יוסי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שיגבל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מורסן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למורסן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למורסן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גובלין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שבוחשין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גובלין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בטש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גובלין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בלישניה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מהלקיטין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אפינקסיה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דזעירי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מנשיא</w:t>
      </w:r>
      <w:r w:rsidDel="00000000" w:rsidR="00000000" w:rsidRPr="00000000">
        <w:rPr>
          <w:rtl w:val="1"/>
        </w:rPr>
        <w:t xml:space="preserve">]: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כוריים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אפינקסיה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למיסר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המורסן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קלי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שנתייבשה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דאבשונא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- (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מורסן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שיגבל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שבוחשין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בתרווד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גובלין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ושותים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המצרי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לרפואה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בעבה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לגבלא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מורסן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בטש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גובלין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מורסן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לתורי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ודלא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בלישניה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מורסן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מנערו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אפינקסיה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אמרית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שתיתא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מדר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אגלי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הרכבת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ואמנם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תערובת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נבלעים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אימתי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מפרישין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כשיתן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המים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ויתערב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הקמח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עריסותיכם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ולכשתעשה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עריסותיכם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הטעהו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מאימתי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תתחייב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משתגלגל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בחטים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ויתערב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הקמח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שתטמטם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ותעשה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כולה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גוף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ותטמטם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והכוסמין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כשעורים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התרומות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וסייעתו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נתינת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גיבול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בקמח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גיבול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וסייעתו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מחטאת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*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מגבלין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ודע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דנתינת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גיבול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נתגבל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למיחייביה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8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גיבול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ככרות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בגיבולו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דגזרינן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גיבול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הקמח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B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גיבול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מנתינת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מחייב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בלילה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ובלילה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עבה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גובלין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ושוין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שבוחשין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גובלין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ופרקינן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משקים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]</w:t>
      </w:r>
      <w:r w:rsidDel="00000000" w:rsidR="00000000" w:rsidRPr="00000000">
        <w:rPr>
          <w:rtl w:val="1"/>
        </w:rPr>
        <w:t xml:space="preserve">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ט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דנשפך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נוזל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קצות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14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